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37" w:rsidRPr="006A2F78" w:rsidRDefault="00E13E37" w:rsidP="00B804F8">
      <w:pPr>
        <w:pStyle w:val="Title"/>
        <w:rPr>
          <w:rStyle w:val="Strong"/>
          <w:rFonts w:cs="Times New Roman"/>
          <w:b w:val="0"/>
          <w:bCs w:val="0"/>
          <w:sz w:val="40"/>
          <w:szCs w:val="40"/>
        </w:rPr>
      </w:pPr>
      <w:r w:rsidRPr="006A2F78">
        <w:rPr>
          <w:rStyle w:val="Strong"/>
          <w:color w:val="000000"/>
          <w:sz w:val="40"/>
          <w:szCs w:val="40"/>
        </w:rPr>
        <w:t>Отговори на въпросите, зададени на КФН от в-к „Капитал” чрез Комисията по бюджет и финанси на 43-то Народно събрание</w:t>
      </w:r>
    </w:p>
    <w:p w:rsidR="00E13E37" w:rsidRPr="007E0DA8" w:rsidRDefault="00E13E37" w:rsidP="007E0DA8">
      <w:pPr>
        <w:pStyle w:val="Heading1"/>
        <w:numPr>
          <w:ilvl w:val="0"/>
          <w:numId w:val="20"/>
        </w:numPr>
        <w:rPr>
          <w:rStyle w:val="Strong"/>
          <w:b/>
          <w:bCs/>
        </w:rPr>
      </w:pPr>
      <w:r w:rsidRPr="007E0DA8">
        <w:rPr>
          <w:rStyle w:val="Strong"/>
          <w:b/>
          <w:bCs/>
        </w:rPr>
        <w:t>Във връзка със състоянието на пенсионно-осигурителната система и предприетите действия от КФН</w:t>
      </w:r>
    </w:p>
    <w:p w:rsidR="00E13E37" w:rsidRPr="006A2F78" w:rsidRDefault="00E13E37" w:rsidP="00E11D0A">
      <w:pPr>
        <w:pStyle w:val="Heading2"/>
        <w:numPr>
          <w:ilvl w:val="0"/>
          <w:numId w:val="12"/>
        </w:numPr>
      </w:pPr>
      <w:r w:rsidRPr="006A2F78">
        <w:t>Има ли внесено в КФН писмо от 4 пенсионни дружества (с общ пазарен дял от около 2/3 от пазара на допълнително пенсионно осигуряване), в което са изнесени твърдения за пазарни манипулации, извършени от конкретни пенсионни дружества и в резултат на които функционирането на осигурителната система в България се поставя в състояние на системен риск? Ако да, откога датира писмото, каква е оценката на КФН за съдържаните в него твърдения, какви мерки е предприел регулаторът?</w:t>
      </w:r>
    </w:p>
    <w:p w:rsidR="00E13E37" w:rsidRPr="006A2F78" w:rsidRDefault="00E13E37" w:rsidP="00E11D0A"/>
    <w:p w:rsidR="00E13E37" w:rsidRPr="006A2F78" w:rsidRDefault="00E13E37" w:rsidP="00DA740A">
      <w:pPr>
        <w:ind w:firstLine="708"/>
        <w:jc w:val="both"/>
      </w:pPr>
    </w:p>
    <w:p w:rsidR="00E13E37" w:rsidRPr="006A2F78" w:rsidRDefault="00E13E37" w:rsidP="00DA740A">
      <w:pPr>
        <w:ind w:firstLine="708"/>
        <w:jc w:val="both"/>
      </w:pPr>
      <w:r w:rsidRPr="006A2F78">
        <w:t xml:space="preserve">На 24.10.2014 г. с вх. № РГ-12-01-45 в КФН е постъпило писмо от ПОК „Доверие” АД, ПОД „Алианц България” АД, ПОК „ДСК Родина” АД и „Ай Ен Джи ПОД” ЕАД. Същото е адресирано до заместник председателя ръководещ Управление „Осигурителен надзор”- Ангел Джалъзов, с копие до заместник председателя ръководещ Управление „Надзор на инвестиционната дейност” – Николай Попов. </w:t>
      </w:r>
    </w:p>
    <w:p w:rsidR="00E13E37" w:rsidRPr="006A2F78" w:rsidRDefault="00E13E37" w:rsidP="00DA740A">
      <w:pPr>
        <w:ind w:firstLine="708"/>
        <w:jc w:val="both"/>
      </w:pPr>
    </w:p>
    <w:p w:rsidR="00E13E37" w:rsidRPr="006A2F78" w:rsidRDefault="00E13E37" w:rsidP="00B804F8">
      <w:pPr>
        <w:pStyle w:val="Heading3"/>
      </w:pPr>
      <w:r w:rsidRPr="006A2F78">
        <w:t>Системен риск</w:t>
      </w:r>
    </w:p>
    <w:p w:rsidR="00E13E37" w:rsidRPr="006A2F78" w:rsidRDefault="00E13E37" w:rsidP="00DA740A">
      <w:pPr>
        <w:ind w:firstLine="708"/>
        <w:jc w:val="both"/>
      </w:pPr>
      <w:r w:rsidRPr="006A2F78">
        <w:t xml:space="preserve">В </w:t>
      </w:r>
      <w:r>
        <w:t xml:space="preserve">посоченото </w:t>
      </w:r>
      <w:r w:rsidRPr="006A2F78">
        <w:t>писмо</w:t>
      </w:r>
      <w:r>
        <w:t xml:space="preserve">, което е подадено след покана за това от страна на председателя на КФН, </w:t>
      </w:r>
      <w:r w:rsidRPr="006A2F78">
        <w:t xml:space="preserve"> се акцентира върху значителната разлика в дневното изменение на стойността на дяловете на УПФ, ДПФ и ППФ управлявани от различните ПОД в последния работен ден на няколко поредни тримесечия. Посочени са конкретно 9 публични дружества, регистрирани на БФБ, за чиито емисии са изложени съмнения за евентуални манипулации.</w:t>
      </w:r>
      <w:r>
        <w:t xml:space="preserve">  </w:t>
      </w:r>
    </w:p>
    <w:p w:rsidR="00E13E37" w:rsidRDefault="00E13E37" w:rsidP="00016075">
      <w:pPr>
        <w:ind w:firstLine="708"/>
        <w:jc w:val="both"/>
      </w:pPr>
      <w:r w:rsidRPr="006A2F78">
        <w:t xml:space="preserve">Стойността на притежаваните книжа от </w:t>
      </w:r>
      <w:r>
        <w:t>пенсионните фондове (ПФ)</w:t>
      </w:r>
      <w:r w:rsidRPr="006A2F78">
        <w:t xml:space="preserve"> в споменатите публични дружества към визираните дати е представена в Таблица 1 на стр. 2. </w:t>
      </w:r>
    </w:p>
    <w:p w:rsidR="00E13E37" w:rsidRDefault="00E13E37" w:rsidP="00016075">
      <w:pPr>
        <w:ind w:firstLine="708"/>
        <w:jc w:val="both"/>
        <w:rPr>
          <w:b/>
          <w:bCs/>
        </w:rPr>
      </w:pPr>
    </w:p>
    <w:p w:rsidR="00E13E37" w:rsidRPr="00016075" w:rsidRDefault="00E13E37" w:rsidP="00016075">
      <w:pPr>
        <w:ind w:firstLine="708"/>
        <w:jc w:val="both"/>
        <w:rPr>
          <w:b/>
          <w:bCs/>
        </w:rPr>
      </w:pPr>
      <w:r w:rsidRPr="00016075">
        <w:rPr>
          <w:b/>
          <w:bCs/>
        </w:rPr>
        <w:t>Общата стойност</w:t>
      </w:r>
      <w:r w:rsidRPr="00016075">
        <w:rPr>
          <w:rStyle w:val="apple-converted-space"/>
          <w:b/>
          <w:bCs/>
        </w:rPr>
        <w:t> </w:t>
      </w:r>
      <w:r w:rsidRPr="00016075">
        <w:rPr>
          <w:b/>
          <w:bCs/>
        </w:rPr>
        <w:t>на притежаваните книжа от П</w:t>
      </w:r>
      <w:r>
        <w:rPr>
          <w:b/>
          <w:bCs/>
        </w:rPr>
        <w:t>Ф</w:t>
      </w:r>
      <w:r w:rsidRPr="00016075">
        <w:rPr>
          <w:b/>
          <w:bCs/>
        </w:rPr>
        <w:t xml:space="preserve"> в споменатите публични дружества към 29.12.2014 г. представлява 0.71% от активите на всички пенсионни фондове. Видно е, че и поотделно, и в съвкупност те заемат малък дял от инвестиционните портфейли на всички П</w:t>
      </w:r>
      <w:r>
        <w:rPr>
          <w:b/>
          <w:bCs/>
        </w:rPr>
        <w:t>Ф</w:t>
      </w:r>
      <w:r w:rsidRPr="00016075">
        <w:rPr>
          <w:b/>
          <w:bCs/>
        </w:rPr>
        <w:t>.</w:t>
      </w:r>
    </w:p>
    <w:p w:rsidR="00E13E37" w:rsidRDefault="00E13E37" w:rsidP="00E93747">
      <w:pPr>
        <w:ind w:firstLine="708"/>
        <w:jc w:val="both"/>
      </w:pPr>
    </w:p>
    <w:p w:rsidR="00E13E37" w:rsidRPr="006A2F78" w:rsidRDefault="00E13E37" w:rsidP="00E93747">
      <w:pPr>
        <w:ind w:firstLine="708"/>
        <w:jc w:val="both"/>
      </w:pPr>
      <w:r>
        <w:t>К</w:t>
      </w:r>
      <w:r w:rsidRPr="006A2F78">
        <w:t xml:space="preserve">ъм  31.12.2014 общия обем на всички права и акции (книжа с променлива доходност), инвестирани от универсалните пенсионни фондове на българския капиталов пазар възлиза на 7.49% от техните активи, което очевидно няма как да представлява системен риск за втория пенсионен стълб, тъй като дори да се стигне теоретично до пълна загуба на стойност за всички български публични компании регистрирани на БФБ вследствие на природен катаклизъм или друг форс мажор, даже и в най лошия възможен сценарии при средна годишна доходност от 5.45%  през последните 12 г, фондовете биха компенсирали подобна загуба в рамките на 1-2  календарни години. </w:t>
      </w:r>
    </w:p>
    <w:p w:rsidR="00E13E37" w:rsidRPr="006A2F78" w:rsidRDefault="00E13E37">
      <w:r w:rsidRPr="006A2F78">
        <w:br w:type="page"/>
      </w:r>
    </w:p>
    <w:tbl>
      <w:tblPr>
        <w:tblW w:w="0" w:type="auto"/>
        <w:tblInd w:w="-106" w:type="dxa"/>
        <w:tblBorders>
          <w:top w:val="single" w:sz="4" w:space="0" w:color="auto"/>
          <w:bottom w:val="single" w:sz="4" w:space="0" w:color="auto"/>
          <w:insideH w:val="single" w:sz="4" w:space="0" w:color="auto"/>
          <w:insideV w:val="single" w:sz="4" w:space="0" w:color="auto"/>
        </w:tblBorders>
        <w:tblCellMar>
          <w:top w:w="57" w:type="dxa"/>
          <w:bottom w:w="57" w:type="dxa"/>
        </w:tblCellMar>
        <w:tblLook w:val="00A0"/>
      </w:tblPr>
      <w:tblGrid>
        <w:gridCol w:w="9288"/>
      </w:tblGrid>
      <w:tr w:rsidR="00E13E37" w:rsidRPr="006A2F78">
        <w:tc>
          <w:tcPr>
            <w:tcW w:w="9288" w:type="dxa"/>
            <w:tcBorders>
              <w:top w:val="nil"/>
            </w:tcBorders>
          </w:tcPr>
          <w:p w:rsidR="00E13E37" w:rsidRPr="002E0AE3" w:rsidRDefault="00E13E37" w:rsidP="00E93747">
            <w:pPr>
              <w:pStyle w:val="Subtitle"/>
              <w:rPr>
                <w:b/>
                <w:bCs/>
              </w:rPr>
            </w:pPr>
            <w:r w:rsidRPr="002E0AE3">
              <w:rPr>
                <w:b/>
                <w:bCs/>
              </w:rPr>
              <w:t>Таб. 1. Стойност на притежаваните книжа към визираните дати в лева, и техния дял в портфейла на съответното ПОД</w:t>
            </w:r>
          </w:p>
        </w:tc>
      </w:tr>
      <w:tr w:rsidR="00E13E37" w:rsidRPr="006A2F78">
        <w:tc>
          <w:tcPr>
            <w:tcW w:w="9288" w:type="dxa"/>
          </w:tcPr>
          <w:p w:rsidR="00E13E37" w:rsidRPr="006A2F78" w:rsidRDefault="00E13E37" w:rsidP="002E0AE3">
            <w:pPr>
              <w:jc w:val="both"/>
            </w:pPr>
            <w:r w:rsidRPr="00467FB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8" o:spid="_x0000_i1025" type="#_x0000_t75" style="width:441.75pt;height:363.75pt;visibility:visible">
                  <v:imagedata r:id="rId7" o:title=""/>
                </v:shape>
              </w:pict>
            </w:r>
          </w:p>
        </w:tc>
      </w:tr>
      <w:tr w:rsidR="00E13E37" w:rsidRPr="006A2F78">
        <w:tc>
          <w:tcPr>
            <w:tcW w:w="9288" w:type="dxa"/>
            <w:tcBorders>
              <w:bottom w:val="nil"/>
            </w:tcBorders>
          </w:tcPr>
          <w:p w:rsidR="00E13E37" w:rsidRPr="002E0AE3" w:rsidRDefault="00E13E37" w:rsidP="002E0AE3">
            <w:pPr>
              <w:jc w:val="both"/>
              <w:rPr>
                <w:i/>
                <w:iCs/>
              </w:rPr>
            </w:pPr>
            <w:r w:rsidRPr="002E0AE3">
              <w:rPr>
                <w:i/>
                <w:iCs/>
                <w:sz w:val="18"/>
                <w:szCs w:val="18"/>
              </w:rPr>
              <w:t>Източник: надзорни данни от ПОД</w:t>
            </w:r>
          </w:p>
        </w:tc>
      </w:tr>
    </w:tbl>
    <w:p w:rsidR="00E13E37" w:rsidRPr="006A2F78" w:rsidRDefault="00E13E37" w:rsidP="00DA740A">
      <w:pPr>
        <w:ind w:firstLine="708"/>
        <w:jc w:val="both"/>
      </w:pPr>
    </w:p>
    <w:p w:rsidR="00E13E37" w:rsidRPr="006A2F78" w:rsidRDefault="00E13E37" w:rsidP="009037C2">
      <w:pPr>
        <w:pStyle w:val="Heading3"/>
      </w:pPr>
      <w:r w:rsidRPr="006A2F78">
        <w:t>Проверка за пазарни манипулации</w:t>
      </w:r>
    </w:p>
    <w:p w:rsidR="00E13E37" w:rsidRPr="006A2F78" w:rsidRDefault="00E13E37" w:rsidP="00DA740A">
      <w:pPr>
        <w:ind w:firstLine="708"/>
        <w:jc w:val="both"/>
      </w:pPr>
      <w:r w:rsidRPr="006A2F78">
        <w:t>В</w:t>
      </w:r>
      <w:r>
        <w:t xml:space="preserve"> деня на </w:t>
      </w:r>
      <w:r w:rsidRPr="006A2F78">
        <w:t>постъп</w:t>
      </w:r>
      <w:r>
        <w:t xml:space="preserve">ването на </w:t>
      </w:r>
      <w:r w:rsidRPr="006A2F78">
        <w:t>писмо</w:t>
      </w:r>
      <w:r>
        <w:t>то - 24.10.2014г.</w:t>
      </w:r>
      <w:r w:rsidRPr="006A2F78">
        <w:t>,</w:t>
      </w:r>
      <w:r>
        <w:t xml:space="preserve"> същото е разпределено от председателя за необходими действия и мерки към съответните заместник-председатели на КФН. З</w:t>
      </w:r>
      <w:r w:rsidRPr="006A2F78">
        <w:t>аместник–председателят Николай Попов е разпоредил извършването на проверка от отдел „Разследване на пазарни злоупотреби”, управление „Надзор на инвестиционната дейност”, за спазване на разпоредбите на Закона срещу пазарните злоупотреби с финансови инструменти. Предвид, че в обхвата на сигнала са виз</w:t>
      </w:r>
      <w:r>
        <w:t>ирани финансови инструменти на 8</w:t>
      </w:r>
      <w:r w:rsidRPr="006A2F78">
        <w:t xml:space="preserve"> дружества, в момента се проверяват всички извършени транзакции с тях и търговията с тях.</w:t>
      </w:r>
    </w:p>
    <w:p w:rsidR="00E13E37" w:rsidRPr="006A2F78" w:rsidRDefault="00E13E37" w:rsidP="00E91F60">
      <w:pPr>
        <w:ind w:firstLine="708"/>
        <w:jc w:val="both"/>
      </w:pPr>
      <w:r w:rsidRPr="006A2F78">
        <w:t>Следва да се отбележи, че дяловете във фондове за допълнително пенсионно осигуряване (ФДПО) сами по себе си не попадат в обхвата на чл. 3 на Закона срещу пазарните злоупотреби с финансови инструменти, тъй като не са финансови инструменти, за които се отнасят разпоредбите на ЗПЗФИ,  а именно – финансови инструменти, допуснати до търговия на регулиран пазар, т.е. манипулирането на стойността на дяловете във ФДПО не нарушава Закона срещу пазарните злоупотреби с финансови инструменти. Манипулирането на финансови инструменти (акции, облигации и т.п.) с цел създаване на невярна или подвеждаща представа относно търсенето, предлагането или цената им обаче е наказуемо по ЗПЗФИ.</w:t>
      </w:r>
    </w:p>
    <w:p w:rsidR="00E13E37" w:rsidRPr="006A2F78" w:rsidRDefault="00E13E37" w:rsidP="00E91F60">
      <w:pPr>
        <w:ind w:firstLine="708"/>
        <w:jc w:val="both"/>
      </w:pPr>
      <w:r w:rsidRPr="006A2F78">
        <w:t xml:space="preserve">За доказването и налагането на санкции за пазарни манипулации следва да бъдат събрани доказателства, според които лицата по покупка и продажба  осъществяват съвместни действия с цел да създадат невярна или подвеждаща представа относно търсенето, предлагането или цената на финансовите инструменти. Идентифицират се инвеститорите и се анализира тяхното инвестиционно поведение във времето. За установяването на свързаност между лицата, търгували по определени емисии се изискват множество документи от различни институции и други лица. </w:t>
      </w:r>
    </w:p>
    <w:tbl>
      <w:tblPr>
        <w:tblW w:w="0" w:type="auto"/>
        <w:tblInd w:w="-106" w:type="dxa"/>
        <w:tblBorders>
          <w:top w:val="single" w:sz="4" w:space="0" w:color="auto"/>
          <w:bottom w:val="single" w:sz="4" w:space="0" w:color="auto"/>
          <w:insideH w:val="single" w:sz="4" w:space="0" w:color="auto"/>
          <w:insideV w:val="single" w:sz="4" w:space="0" w:color="auto"/>
        </w:tblBorders>
        <w:tblCellMar>
          <w:top w:w="57" w:type="dxa"/>
          <w:bottom w:w="57" w:type="dxa"/>
        </w:tblCellMar>
        <w:tblLook w:val="00A0"/>
      </w:tblPr>
      <w:tblGrid>
        <w:gridCol w:w="9288"/>
      </w:tblGrid>
      <w:tr w:rsidR="00E13E37" w:rsidRPr="006A2F78">
        <w:tc>
          <w:tcPr>
            <w:tcW w:w="9288" w:type="dxa"/>
            <w:tcBorders>
              <w:top w:val="nil"/>
            </w:tcBorders>
          </w:tcPr>
          <w:p w:rsidR="00E13E37" w:rsidRPr="00FF1482" w:rsidRDefault="00E13E37" w:rsidP="00E91F60">
            <w:pPr>
              <w:pStyle w:val="Heading4"/>
            </w:pPr>
            <w:r w:rsidRPr="002E0AE3">
              <w:t xml:space="preserve">Таб. </w:t>
            </w:r>
            <w:r w:rsidRPr="00D26733">
              <w:rPr>
                <w:lang w:val="ru-RU"/>
              </w:rPr>
              <w:t>2</w:t>
            </w:r>
            <w:r w:rsidRPr="002E0AE3">
              <w:t xml:space="preserve">. Брой сделки и изтъргуван обем за периода </w:t>
            </w:r>
            <w:r>
              <w:t>26.06.2013г.-30.12.2014</w:t>
            </w:r>
            <w:r w:rsidRPr="00FF1482">
              <w:t>г.</w:t>
            </w:r>
          </w:p>
        </w:tc>
      </w:tr>
      <w:tr w:rsidR="00E13E37" w:rsidRPr="006A2F78">
        <w:tc>
          <w:tcPr>
            <w:tcW w:w="9288" w:type="dxa"/>
          </w:tcPr>
          <w:p w:rsidR="00E13E37" w:rsidRPr="00FF1482" w:rsidRDefault="00E13E37" w:rsidP="002E0AE3">
            <w:pPr>
              <w:jc w:val="both"/>
            </w:pPr>
            <w:r w:rsidRPr="00467FB5">
              <w:pict>
                <v:shape id="_x0000_i1026" type="#_x0000_t75" style="width:453pt;height:105.75pt">
                  <v:imagedata r:id="rId8" o:title=""/>
                </v:shape>
              </w:pict>
            </w:r>
          </w:p>
        </w:tc>
      </w:tr>
      <w:tr w:rsidR="00E13E37" w:rsidRPr="006A2F78">
        <w:tc>
          <w:tcPr>
            <w:tcW w:w="9288" w:type="dxa"/>
            <w:tcBorders>
              <w:bottom w:val="nil"/>
            </w:tcBorders>
          </w:tcPr>
          <w:p w:rsidR="00E13E37" w:rsidRPr="006A2F78" w:rsidRDefault="00E13E37" w:rsidP="002E0AE3">
            <w:pPr>
              <w:jc w:val="both"/>
            </w:pPr>
            <w:r w:rsidRPr="002E0AE3">
              <w:rPr>
                <w:i/>
                <w:iCs/>
                <w:sz w:val="18"/>
                <w:szCs w:val="18"/>
              </w:rPr>
              <w:t>Източник:”Централен Депозитар” АД</w:t>
            </w:r>
          </w:p>
        </w:tc>
      </w:tr>
    </w:tbl>
    <w:p w:rsidR="00E13E37" w:rsidRPr="006A2F78" w:rsidRDefault="00E13E37" w:rsidP="00DA740A">
      <w:pPr>
        <w:ind w:firstLine="708"/>
        <w:jc w:val="both"/>
      </w:pPr>
    </w:p>
    <w:p w:rsidR="00E13E37" w:rsidRPr="006A2F78" w:rsidRDefault="00E13E37" w:rsidP="00DA740A">
      <w:pPr>
        <w:ind w:firstLine="708"/>
        <w:jc w:val="both"/>
      </w:pPr>
      <w:r w:rsidRPr="006A2F78">
        <w:t>Както е видно от горната таблица, проверката обхваща търговията с финансови инструменти за период от над 1 година. Проверят се голям брой дружества, като посочените осем са първата част от обема на проверката. Още по-голям е обемът на сделките и броят на акционерите. Следователно, за всички гореизброени действия е необходим голям период от време, който предполага значителната продължителност на текущата проверка, което не е характерно само за конкретния случай, а се отнася за всички проверки за пазарни злоупотреби, извършвани от Надзор на инвестиционната дейност.</w:t>
      </w:r>
    </w:p>
    <w:p w:rsidR="00E13E37" w:rsidRPr="006A2F78" w:rsidRDefault="00E13E37" w:rsidP="00DA740A">
      <w:pPr>
        <w:ind w:firstLine="708"/>
        <w:jc w:val="both"/>
      </w:pPr>
      <w:r w:rsidRPr="006A2F78">
        <w:rPr>
          <w:b/>
          <w:bCs/>
        </w:rPr>
        <w:t>Проверка към момента не е приключила и разкриването на допълнителна информация би могло да я възпрепятства.</w:t>
      </w:r>
      <w:r w:rsidRPr="006A2F78">
        <w:t xml:space="preserve"> </w:t>
      </w:r>
    </w:p>
    <w:p w:rsidR="00E13E37" w:rsidRDefault="00E13E37" w:rsidP="000667D1">
      <w:pPr>
        <w:ind w:firstLine="708"/>
        <w:jc w:val="both"/>
      </w:pPr>
    </w:p>
    <w:p w:rsidR="00E13E37" w:rsidRPr="002C5343" w:rsidRDefault="00E13E37" w:rsidP="00DC775D">
      <w:pPr>
        <w:widowControl w:val="0"/>
        <w:ind w:firstLine="720"/>
        <w:jc w:val="both"/>
        <w:rPr>
          <w:lang w:val="ru-RU"/>
        </w:rPr>
      </w:pPr>
      <w:r>
        <w:t xml:space="preserve">Необходимо е да се подчертае, че проверката на сделки, представляващи възможни пазарни манипулации, е част от обичайната всекидневна надзорна дейност на КФН и не представлява изключителност. ЗПЗФИ забранява пазарните злоупотреби </w:t>
      </w:r>
      <w:r w:rsidRPr="008555CA">
        <w:rPr>
          <w:lang w:val="ru-RU"/>
        </w:rPr>
        <w:t>(търговията с вътрешна информация и манипулирането на пазара)</w:t>
      </w:r>
      <w:r>
        <w:t xml:space="preserve">, като са предвидени мерки за предотвратяването и разкриването им. </w:t>
      </w:r>
      <w:r w:rsidRPr="008555CA">
        <w:rPr>
          <w:lang w:val="ru-RU"/>
        </w:rPr>
        <w:t xml:space="preserve">ЗПЗФИ въвежда в българското законодателство разпоредбите на Директива 2003/6/ЕО относно търговията с вътрешна информация и манипулирането </w:t>
      </w:r>
      <w:r w:rsidRPr="002C5343">
        <w:rPr>
          <w:lang w:val="ru-RU"/>
        </w:rPr>
        <w:t>на пазара (пазарна злоупотреба).</w:t>
      </w:r>
    </w:p>
    <w:p w:rsidR="00E13E37" w:rsidRPr="002C5343" w:rsidRDefault="00E13E37" w:rsidP="008555CA">
      <w:pPr>
        <w:widowControl w:val="0"/>
        <w:ind w:firstLine="720"/>
        <w:jc w:val="both"/>
      </w:pPr>
      <w:r w:rsidRPr="002C5343">
        <w:t xml:space="preserve">При осъществяване на надзора на пазара на финансови инструменти, КФН разследва и налага санкции по различните хипотези за манипулиране на пазара на финансови инструменти, които са посочени в чл. 6, ал. 1 от ЗПЗФИ. </w:t>
      </w:r>
    </w:p>
    <w:p w:rsidR="00E13E37" w:rsidRPr="002C5343" w:rsidRDefault="00E13E37" w:rsidP="008555CA">
      <w:pPr>
        <w:widowControl w:val="0"/>
        <w:ind w:firstLine="720"/>
        <w:jc w:val="both"/>
        <w:rPr>
          <w:lang w:val="ru-RU"/>
        </w:rPr>
      </w:pPr>
      <w:r w:rsidRPr="002C5343">
        <w:rPr>
          <w:lang w:val="ru-RU"/>
        </w:rPr>
        <w:t>Първата хипотеза е извършването на сделки или подаване на нареждания, които създават или могат да създадат невярна или подвеждаща представа относно търсенето, предлагането или цената на финансови инструменти или в които определят чрез действията на едно лице или чрез съвместни действия на две или повече лица цената на един или няколко финансови инструмента на необичайно или изкуствено ниво.</w:t>
      </w:r>
    </w:p>
    <w:p w:rsidR="00E13E37" w:rsidRPr="002C5343" w:rsidRDefault="00E13E37" w:rsidP="008555CA">
      <w:pPr>
        <w:widowControl w:val="0"/>
        <w:ind w:firstLine="720"/>
        <w:jc w:val="both"/>
      </w:pPr>
      <w:r w:rsidRPr="002C5343">
        <w:rPr>
          <w:lang w:val="ru-RU"/>
        </w:rPr>
        <w:t xml:space="preserve">Втората </w:t>
      </w:r>
      <w:r w:rsidRPr="002C5343">
        <w:t>хипотеза е извършването на сделки или подаването на нареждания при които се използват фиктивни способи или други форми на измамни действия.</w:t>
      </w:r>
    </w:p>
    <w:p w:rsidR="00E13E37" w:rsidRPr="002C5343" w:rsidRDefault="00E13E37" w:rsidP="008555CA">
      <w:pPr>
        <w:widowControl w:val="0"/>
        <w:ind w:firstLine="720"/>
        <w:jc w:val="both"/>
      </w:pPr>
      <w:r w:rsidRPr="002C5343">
        <w:t>Третата хипотеза е свързана с разпространяването чрез средствата за масово осведомяване, включително интернет или по какъвто и да е друг начин на информация, която създава или може да създаде невярна или подвеждаща представа относно финансови инструменти, включително разпространяването на слухове и неверни или заблуждаващи новини, когато лицето което разпространява информацията знае или е длъжно да знае, че информацията е невярна или подвеждаща.</w:t>
      </w:r>
    </w:p>
    <w:p w:rsidR="00E13E37" w:rsidRDefault="00E13E37" w:rsidP="00DC775D">
      <w:pPr>
        <w:ind w:firstLine="708"/>
        <w:jc w:val="both"/>
      </w:pPr>
      <w:r w:rsidRPr="002C5343">
        <w:rPr>
          <w:lang w:val="ru-RU"/>
        </w:rPr>
        <w:t xml:space="preserve">През последните години при извършваните проверки </w:t>
      </w:r>
      <w:r w:rsidRPr="002C5343">
        <w:t>относно спазване</w:t>
      </w:r>
      <w:r w:rsidRPr="002864AD">
        <w:t xml:space="preserve"> разпоредбите на ЗПЗФИ,</w:t>
      </w:r>
      <w:r w:rsidRPr="008555CA">
        <w:rPr>
          <w:lang w:val="ru-RU"/>
        </w:rPr>
        <w:t xml:space="preserve"> са съставени АУАН </w:t>
      </w:r>
      <w:r>
        <w:t>и издадени НП, както следва:</w:t>
      </w:r>
    </w:p>
    <w:p w:rsidR="00E13E37" w:rsidRPr="008555CA" w:rsidRDefault="00E13E37" w:rsidP="00DC775D">
      <w:pPr>
        <w:ind w:firstLine="708"/>
        <w:jc w:val="both"/>
        <w:rPr>
          <w:lang w:val="ru-RU"/>
        </w:rPr>
      </w:pPr>
    </w:p>
    <w:tbl>
      <w:tblPr>
        <w:tblW w:w="5820" w:type="dxa"/>
        <w:jc w:val="center"/>
        <w:tblCellMar>
          <w:left w:w="70" w:type="dxa"/>
          <w:right w:w="70" w:type="dxa"/>
        </w:tblCellMar>
        <w:tblLook w:val="0000"/>
      </w:tblPr>
      <w:tblGrid>
        <w:gridCol w:w="1900"/>
        <w:gridCol w:w="2080"/>
        <w:gridCol w:w="1840"/>
      </w:tblGrid>
      <w:tr w:rsidR="00E13E37" w:rsidRPr="008555CA">
        <w:trPr>
          <w:trHeight w:val="330"/>
          <w:jc w:val="center"/>
        </w:trPr>
        <w:tc>
          <w:tcPr>
            <w:tcW w:w="1900" w:type="dxa"/>
            <w:tcBorders>
              <w:top w:val="single" w:sz="4" w:space="0" w:color="auto"/>
              <w:bottom w:val="single" w:sz="4" w:space="0" w:color="auto"/>
            </w:tcBorders>
            <w:shd w:val="clear" w:color="auto" w:fill="C0C0C0"/>
            <w:noWrap/>
            <w:vAlign w:val="center"/>
          </w:tcPr>
          <w:p w:rsidR="00E13E37" w:rsidRPr="008555CA" w:rsidRDefault="00E13E37" w:rsidP="009D6ED4">
            <w:pPr>
              <w:jc w:val="center"/>
              <w:rPr>
                <w:color w:val="000000"/>
              </w:rPr>
            </w:pPr>
            <w:r w:rsidRPr="008555CA">
              <w:rPr>
                <w:color w:val="000000"/>
              </w:rPr>
              <w:t>Година</w:t>
            </w:r>
          </w:p>
        </w:tc>
        <w:tc>
          <w:tcPr>
            <w:tcW w:w="2080" w:type="dxa"/>
            <w:tcBorders>
              <w:top w:val="single" w:sz="4" w:space="0" w:color="auto"/>
              <w:bottom w:val="single" w:sz="4" w:space="0" w:color="auto"/>
            </w:tcBorders>
            <w:shd w:val="clear" w:color="auto" w:fill="C0C0C0"/>
            <w:noWrap/>
            <w:vAlign w:val="center"/>
          </w:tcPr>
          <w:p w:rsidR="00E13E37" w:rsidRPr="008555CA" w:rsidRDefault="00E13E37" w:rsidP="009D6ED4">
            <w:pPr>
              <w:jc w:val="center"/>
              <w:rPr>
                <w:color w:val="000000"/>
              </w:rPr>
            </w:pPr>
            <w:r w:rsidRPr="008555CA">
              <w:rPr>
                <w:color w:val="000000"/>
              </w:rPr>
              <w:t>Съставени АУАН</w:t>
            </w:r>
          </w:p>
        </w:tc>
        <w:tc>
          <w:tcPr>
            <w:tcW w:w="1840" w:type="dxa"/>
            <w:tcBorders>
              <w:top w:val="single" w:sz="4" w:space="0" w:color="auto"/>
              <w:bottom w:val="single" w:sz="4" w:space="0" w:color="auto"/>
            </w:tcBorders>
            <w:shd w:val="clear" w:color="auto" w:fill="C0C0C0"/>
            <w:noWrap/>
            <w:vAlign w:val="center"/>
          </w:tcPr>
          <w:p w:rsidR="00E13E37" w:rsidRPr="008555CA" w:rsidRDefault="00E13E37" w:rsidP="009D6ED4">
            <w:pPr>
              <w:jc w:val="center"/>
              <w:rPr>
                <w:color w:val="000000"/>
              </w:rPr>
            </w:pPr>
            <w:r w:rsidRPr="008555CA">
              <w:rPr>
                <w:color w:val="000000"/>
              </w:rPr>
              <w:t>Издадени НП</w:t>
            </w:r>
          </w:p>
        </w:tc>
      </w:tr>
      <w:tr w:rsidR="00E13E37" w:rsidRPr="008555CA">
        <w:trPr>
          <w:trHeight w:val="315"/>
          <w:jc w:val="center"/>
        </w:trPr>
        <w:tc>
          <w:tcPr>
            <w:tcW w:w="1900" w:type="dxa"/>
            <w:tcBorders>
              <w:top w:val="single" w:sz="4" w:space="0" w:color="auto"/>
            </w:tcBorders>
            <w:noWrap/>
            <w:vAlign w:val="center"/>
          </w:tcPr>
          <w:p w:rsidR="00E13E37" w:rsidRPr="008555CA" w:rsidRDefault="00E13E37" w:rsidP="009D6ED4">
            <w:pPr>
              <w:jc w:val="center"/>
              <w:rPr>
                <w:b/>
                <w:bCs/>
                <w:color w:val="000000"/>
              </w:rPr>
            </w:pPr>
            <w:r w:rsidRPr="008555CA">
              <w:rPr>
                <w:b/>
                <w:bCs/>
                <w:color w:val="000000"/>
              </w:rPr>
              <w:t>2012</w:t>
            </w:r>
          </w:p>
        </w:tc>
        <w:tc>
          <w:tcPr>
            <w:tcW w:w="2080" w:type="dxa"/>
            <w:tcBorders>
              <w:top w:val="single" w:sz="4" w:space="0" w:color="auto"/>
            </w:tcBorders>
            <w:noWrap/>
            <w:vAlign w:val="center"/>
          </w:tcPr>
          <w:p w:rsidR="00E13E37" w:rsidRPr="008555CA" w:rsidRDefault="00E13E37" w:rsidP="009D6ED4">
            <w:pPr>
              <w:jc w:val="center"/>
              <w:rPr>
                <w:color w:val="000000"/>
              </w:rPr>
            </w:pPr>
            <w:r w:rsidRPr="008555CA">
              <w:rPr>
                <w:color w:val="000000"/>
              </w:rPr>
              <w:t>57</w:t>
            </w:r>
          </w:p>
        </w:tc>
        <w:tc>
          <w:tcPr>
            <w:tcW w:w="1840" w:type="dxa"/>
            <w:tcBorders>
              <w:top w:val="single" w:sz="4" w:space="0" w:color="auto"/>
            </w:tcBorders>
            <w:noWrap/>
            <w:vAlign w:val="center"/>
          </w:tcPr>
          <w:p w:rsidR="00E13E37" w:rsidRPr="008555CA" w:rsidRDefault="00E13E37" w:rsidP="009D6ED4">
            <w:pPr>
              <w:jc w:val="center"/>
              <w:rPr>
                <w:color w:val="000000"/>
              </w:rPr>
            </w:pPr>
            <w:r w:rsidRPr="008555CA">
              <w:rPr>
                <w:color w:val="000000"/>
              </w:rPr>
              <w:t>54</w:t>
            </w:r>
          </w:p>
        </w:tc>
      </w:tr>
      <w:tr w:rsidR="00E13E37" w:rsidRPr="008555CA">
        <w:trPr>
          <w:trHeight w:val="315"/>
          <w:jc w:val="center"/>
        </w:trPr>
        <w:tc>
          <w:tcPr>
            <w:tcW w:w="1900" w:type="dxa"/>
            <w:noWrap/>
            <w:vAlign w:val="center"/>
          </w:tcPr>
          <w:p w:rsidR="00E13E37" w:rsidRPr="008555CA" w:rsidRDefault="00E13E37" w:rsidP="009D6ED4">
            <w:pPr>
              <w:jc w:val="center"/>
              <w:rPr>
                <w:b/>
                <w:bCs/>
                <w:color w:val="000000"/>
              </w:rPr>
            </w:pPr>
            <w:r w:rsidRPr="008555CA">
              <w:rPr>
                <w:b/>
                <w:bCs/>
                <w:color w:val="000000"/>
              </w:rPr>
              <w:t>2013</w:t>
            </w:r>
          </w:p>
        </w:tc>
        <w:tc>
          <w:tcPr>
            <w:tcW w:w="2080" w:type="dxa"/>
            <w:noWrap/>
            <w:vAlign w:val="center"/>
          </w:tcPr>
          <w:p w:rsidR="00E13E37" w:rsidRPr="008555CA" w:rsidRDefault="00E13E37" w:rsidP="009D6ED4">
            <w:pPr>
              <w:jc w:val="center"/>
              <w:rPr>
                <w:color w:val="000000"/>
              </w:rPr>
            </w:pPr>
            <w:r w:rsidRPr="008555CA">
              <w:rPr>
                <w:color w:val="000000"/>
              </w:rPr>
              <w:t>27</w:t>
            </w:r>
          </w:p>
        </w:tc>
        <w:tc>
          <w:tcPr>
            <w:tcW w:w="1840" w:type="dxa"/>
            <w:noWrap/>
            <w:vAlign w:val="center"/>
          </w:tcPr>
          <w:p w:rsidR="00E13E37" w:rsidRPr="008555CA" w:rsidRDefault="00E13E37" w:rsidP="009D6ED4">
            <w:pPr>
              <w:jc w:val="center"/>
              <w:rPr>
                <w:color w:val="000000"/>
              </w:rPr>
            </w:pPr>
            <w:r w:rsidRPr="008555CA">
              <w:rPr>
                <w:color w:val="000000"/>
              </w:rPr>
              <w:t>26</w:t>
            </w:r>
          </w:p>
        </w:tc>
      </w:tr>
      <w:tr w:rsidR="00E13E37" w:rsidRPr="008555CA">
        <w:trPr>
          <w:trHeight w:val="390"/>
          <w:jc w:val="center"/>
        </w:trPr>
        <w:tc>
          <w:tcPr>
            <w:tcW w:w="1900" w:type="dxa"/>
            <w:tcBorders>
              <w:bottom w:val="single" w:sz="4" w:space="0" w:color="auto"/>
            </w:tcBorders>
            <w:vAlign w:val="center"/>
          </w:tcPr>
          <w:p w:rsidR="00E13E37" w:rsidRPr="008555CA" w:rsidRDefault="00E13E37" w:rsidP="009D6ED4">
            <w:pPr>
              <w:jc w:val="center"/>
              <w:rPr>
                <w:b/>
                <w:bCs/>
                <w:color w:val="000000"/>
              </w:rPr>
            </w:pPr>
            <w:r w:rsidRPr="008555CA">
              <w:rPr>
                <w:b/>
                <w:bCs/>
                <w:color w:val="000000"/>
              </w:rPr>
              <w:t>2014 (до 31.09)</w:t>
            </w:r>
          </w:p>
        </w:tc>
        <w:tc>
          <w:tcPr>
            <w:tcW w:w="2080" w:type="dxa"/>
            <w:tcBorders>
              <w:bottom w:val="single" w:sz="4" w:space="0" w:color="auto"/>
            </w:tcBorders>
            <w:noWrap/>
            <w:vAlign w:val="center"/>
          </w:tcPr>
          <w:p w:rsidR="00E13E37" w:rsidRPr="008555CA" w:rsidRDefault="00E13E37" w:rsidP="009D6ED4">
            <w:pPr>
              <w:jc w:val="center"/>
              <w:rPr>
                <w:color w:val="000000"/>
              </w:rPr>
            </w:pPr>
            <w:r w:rsidRPr="008555CA">
              <w:rPr>
                <w:color w:val="000000"/>
              </w:rPr>
              <w:t>22</w:t>
            </w:r>
          </w:p>
        </w:tc>
        <w:tc>
          <w:tcPr>
            <w:tcW w:w="1840" w:type="dxa"/>
            <w:tcBorders>
              <w:bottom w:val="single" w:sz="4" w:space="0" w:color="auto"/>
            </w:tcBorders>
            <w:noWrap/>
            <w:vAlign w:val="center"/>
          </w:tcPr>
          <w:p w:rsidR="00E13E37" w:rsidRPr="008555CA" w:rsidRDefault="00E13E37" w:rsidP="009D6ED4">
            <w:pPr>
              <w:jc w:val="center"/>
              <w:rPr>
                <w:color w:val="000000"/>
              </w:rPr>
            </w:pPr>
            <w:r w:rsidRPr="008555CA">
              <w:rPr>
                <w:color w:val="000000"/>
              </w:rPr>
              <w:t>16</w:t>
            </w:r>
          </w:p>
        </w:tc>
      </w:tr>
    </w:tbl>
    <w:p w:rsidR="00E13E37" w:rsidRPr="008555CA" w:rsidRDefault="00E13E37" w:rsidP="00DC775D">
      <w:pPr>
        <w:ind w:firstLine="708"/>
        <w:rPr>
          <w:lang w:val="ru-RU"/>
        </w:rPr>
      </w:pPr>
    </w:p>
    <w:p w:rsidR="00E13E37" w:rsidRDefault="00E13E37" w:rsidP="00DC775D">
      <w:pPr>
        <w:rPr>
          <w:b/>
          <w:bCs/>
        </w:rPr>
      </w:pPr>
      <w:r w:rsidRPr="00241897">
        <w:rPr>
          <w:b/>
          <w:bCs/>
        </w:rPr>
        <w:tab/>
        <w:t>В заключение, редно е да се подчертае, че ежедневната комуникация между поднадзорните лица и КФН е постоянна практика</w:t>
      </w:r>
      <w:r>
        <w:rPr>
          <w:b/>
          <w:bCs/>
        </w:rPr>
        <w:t xml:space="preserve"> и има за цел усъвършенстване на небанковия финансов сектор. Същото се заявява и в текста на Декларацията на БАДДПО:</w:t>
      </w:r>
    </w:p>
    <w:p w:rsidR="00E13E37" w:rsidRPr="00241897" w:rsidRDefault="00E13E37" w:rsidP="00DC775D">
      <w:pPr>
        <w:rPr>
          <w:b/>
          <w:bCs/>
          <w:i/>
          <w:iCs/>
        </w:rPr>
      </w:pPr>
      <w:r w:rsidRPr="00241897">
        <w:rPr>
          <w:b/>
          <w:bCs/>
          <w:i/>
          <w:iCs/>
        </w:rPr>
        <w:tab/>
        <w:t>„т.4 .....Писането на писма до надзорния орган е дългогодишна практика, която има за цел единствено усъвършенстване на цялата система.”</w:t>
      </w:r>
    </w:p>
    <w:p w:rsidR="00E13E37" w:rsidRPr="000667D1" w:rsidRDefault="00E13E37" w:rsidP="000667D1">
      <w:pPr>
        <w:ind w:firstLine="708"/>
        <w:jc w:val="both"/>
      </w:pPr>
    </w:p>
    <w:p w:rsidR="00E13E37" w:rsidRPr="006A2F78" w:rsidRDefault="00E13E37" w:rsidP="00E11D0A">
      <w:pPr>
        <w:pStyle w:val="Heading2"/>
        <w:numPr>
          <w:ilvl w:val="0"/>
          <w:numId w:val="12"/>
        </w:numPr>
      </w:pPr>
      <w:r w:rsidRPr="006A2F78">
        <w:t xml:space="preserve"> Обсъдени ли са поставените в писмото проблеми от Консултативния съвет за финансова стабилност, чийто формат е КФН-БНБ-МФ? Ако "Да", какво е решението на Консултативния съвет предвид сериозността на твърденията за риск за стабилността на осигурителната система в страната? Ако "Не", каква е гаранцията, че не сме изправени пред риск от повторение на случая "КТБ"?</w:t>
      </w:r>
    </w:p>
    <w:p w:rsidR="00E13E37" w:rsidRPr="006A2F78" w:rsidRDefault="00E13E37" w:rsidP="00CB23DA">
      <w:pPr>
        <w:pStyle w:val="title5"/>
        <w:ind w:firstLine="708"/>
        <w:jc w:val="both"/>
        <w:rPr>
          <w:b w:val="0"/>
          <w:bCs w:val="0"/>
          <w:sz w:val="24"/>
          <w:szCs w:val="24"/>
        </w:rPr>
      </w:pPr>
      <w:r w:rsidRPr="006A2F78">
        <w:rPr>
          <w:b w:val="0"/>
          <w:bCs w:val="0"/>
          <w:sz w:val="24"/>
          <w:szCs w:val="24"/>
        </w:rPr>
        <w:t xml:space="preserve">Към момента </w:t>
      </w:r>
      <w:r>
        <w:rPr>
          <w:b w:val="0"/>
          <w:bCs w:val="0"/>
          <w:sz w:val="24"/>
          <w:szCs w:val="24"/>
        </w:rPr>
        <w:t xml:space="preserve">започналата проверка в резултат на </w:t>
      </w:r>
      <w:r w:rsidRPr="006A2F78">
        <w:rPr>
          <w:b w:val="0"/>
          <w:bCs w:val="0"/>
          <w:sz w:val="24"/>
          <w:szCs w:val="24"/>
        </w:rPr>
        <w:t>писмото</w:t>
      </w:r>
      <w:r>
        <w:rPr>
          <w:b w:val="0"/>
          <w:bCs w:val="0"/>
          <w:sz w:val="24"/>
          <w:szCs w:val="24"/>
        </w:rPr>
        <w:t xml:space="preserve"> не е все още приключила, поради големия обем от данни и сделки, които трябва да се анализират. От друга страна, видно от гореизложените данни,</w:t>
      </w:r>
      <w:r w:rsidRPr="006A2F78">
        <w:rPr>
          <w:b w:val="0"/>
          <w:bCs w:val="0"/>
          <w:sz w:val="24"/>
          <w:szCs w:val="24"/>
        </w:rPr>
        <w:t xml:space="preserve"> възможните манипулации, очевидно от размера</w:t>
      </w:r>
      <w:r>
        <w:rPr>
          <w:b w:val="0"/>
          <w:bCs w:val="0"/>
          <w:sz w:val="24"/>
          <w:szCs w:val="24"/>
        </w:rPr>
        <w:t xml:space="preserve"> на конкретните, посочени в писмото, инвестиции спрямо мащабите на активите на пенсионноосигурителните фондове</w:t>
      </w:r>
      <w:r w:rsidRPr="006A2F78">
        <w:rPr>
          <w:b w:val="0"/>
          <w:bCs w:val="0"/>
          <w:sz w:val="24"/>
          <w:szCs w:val="24"/>
        </w:rPr>
        <w:t xml:space="preserve">, не биха могли да се определят като системен риск. </w:t>
      </w:r>
    </w:p>
    <w:p w:rsidR="00E13E37" w:rsidRPr="006A2F78" w:rsidRDefault="00E13E37" w:rsidP="00E11D0A">
      <w:pPr>
        <w:pStyle w:val="Heading2"/>
        <w:numPr>
          <w:ilvl w:val="0"/>
          <w:numId w:val="12"/>
        </w:numPr>
      </w:pPr>
      <w:r w:rsidRPr="006A2F78">
        <w:t>Вярно ли е, че в резултат на писмото на четирите пенсионни дружества има реакция на Европейската комисия и каква е тази реакция?</w:t>
      </w:r>
    </w:p>
    <w:p w:rsidR="00E13E37" w:rsidRPr="006A2F78" w:rsidRDefault="00E13E37" w:rsidP="007E7706">
      <w:pPr>
        <w:spacing w:before="100" w:beforeAutospacing="1" w:after="100" w:afterAutospacing="1" w:line="270" w:lineRule="atLeast"/>
        <w:ind w:firstLine="708"/>
        <w:jc w:val="both"/>
        <w:rPr>
          <w:color w:val="000000"/>
        </w:rPr>
      </w:pPr>
      <w:r w:rsidRPr="006A2F78">
        <w:rPr>
          <w:color w:val="000000"/>
        </w:rPr>
        <w:t>КФН провежда регулярни срещи с ЕК, ЕСМА, ЕИОПА и всички други  европейски и международни организации, по повод различни аспекти на надзорната и регулаторната ни дейност. Наскоро бе проведена среща с представители на ЕК в рамките на процедурата “Macroeconomic disbalances”, на която КФН представи данни за целия небанков финансов сектор, в това число и за ПОД. На нито една среща с представители на ЕК не е обсъждано цитираното писмо от пенсионните фондове.</w:t>
      </w:r>
    </w:p>
    <w:p w:rsidR="00E13E37" w:rsidRDefault="00E13E37" w:rsidP="00D03539">
      <w:pPr>
        <w:ind w:firstLine="708"/>
        <w:jc w:val="both"/>
        <w:rPr>
          <w:color w:val="000000"/>
        </w:rPr>
      </w:pPr>
      <w:r w:rsidRPr="006A2F78">
        <w:rPr>
          <w:color w:val="000000"/>
        </w:rPr>
        <w:t>КФН подлежи на надзор от страна на ЕСМА и ЕИОПА – европейските надзорни органи</w:t>
      </w:r>
      <w:r w:rsidRPr="006A2F78">
        <w:rPr>
          <w:i/>
          <w:iCs/>
          <w:color w:val="000000"/>
        </w:rPr>
        <w:t xml:space="preserve">. </w:t>
      </w:r>
      <w:r w:rsidRPr="006A2F78">
        <w:rPr>
          <w:color w:val="000000"/>
        </w:rPr>
        <w:t xml:space="preserve">Трябва да се има предвид, че от 1 януари 2011 г. надзорната структура на финансовия сектор в Европейския съюз се промени значително след приемането на 4 регламента от Европейския парламент и Съвета. С тях се създадоха четири нови европейски органа, които имат значителни надзорни и регулаторни правомощия в областта на финансовия надзор в Европейския съюз. Два от тези органи са Европейски орган за ценните книжа и пазари (ESMA) и Европейски орган за застраховане и професионално пенсионно осигуряване (EIOPA). ESMA и EIOPA действат в рамките на приложното поле на основните Директиви и Регламенти в областта на ценните книжа, застраховането и професионално пенсионно осигуряване. Органите имат задачи и в областта на корпоративното управление, одита и финансовата отчетност. ЕИОПА и ЕСМА провеждат регулярен контрол върху надзорната дейност на КФН, включително чрез проверки на място. </w:t>
      </w:r>
    </w:p>
    <w:p w:rsidR="00E13E37" w:rsidRDefault="00E13E37" w:rsidP="00D03539">
      <w:pPr>
        <w:ind w:firstLine="708"/>
        <w:jc w:val="both"/>
        <w:rPr>
          <w:color w:val="000000"/>
        </w:rPr>
      </w:pPr>
    </w:p>
    <w:p w:rsidR="00E13E37" w:rsidRDefault="00E13E37" w:rsidP="00D03539">
      <w:pPr>
        <w:ind w:firstLine="708"/>
        <w:jc w:val="both"/>
        <w:rPr>
          <w:color w:val="000000"/>
        </w:rPr>
      </w:pPr>
      <w:r>
        <w:rPr>
          <w:color w:val="000000"/>
        </w:rPr>
        <w:t>Само през последната година КФН е била обект на седем проверки</w:t>
      </w:r>
      <w:r w:rsidRPr="00C362DD">
        <w:rPr>
          <w:color w:val="000000"/>
          <w:lang w:val="ru-RU"/>
        </w:rPr>
        <w:t xml:space="preserve">, </w:t>
      </w:r>
      <w:r>
        <w:rPr>
          <w:color w:val="000000"/>
        </w:rPr>
        <w:t xml:space="preserve">извършени от страна на </w:t>
      </w:r>
      <w:r>
        <w:rPr>
          <w:color w:val="000000"/>
          <w:lang w:val="en-US"/>
        </w:rPr>
        <w:t>ESMA</w:t>
      </w:r>
      <w:r w:rsidRPr="00C362DD">
        <w:rPr>
          <w:color w:val="000000"/>
          <w:lang w:val="ru-RU"/>
        </w:rPr>
        <w:t xml:space="preserve"> </w:t>
      </w:r>
      <w:r>
        <w:rPr>
          <w:color w:val="000000"/>
        </w:rPr>
        <w:t xml:space="preserve">и </w:t>
      </w:r>
      <w:r>
        <w:rPr>
          <w:color w:val="000000"/>
          <w:lang w:val="en-US"/>
        </w:rPr>
        <w:t>EIOPA</w:t>
      </w:r>
      <w:r w:rsidRPr="00C362DD">
        <w:rPr>
          <w:color w:val="000000"/>
          <w:lang w:val="ru-RU"/>
        </w:rPr>
        <w:t xml:space="preserve">. </w:t>
      </w:r>
      <w:r>
        <w:rPr>
          <w:color w:val="000000"/>
        </w:rPr>
        <w:t xml:space="preserve">При шест от тях КФН е проверявана от европейските органи заедно с други регулатори на държави членки, като някои от проверките все още не са приключили. </w:t>
      </w:r>
    </w:p>
    <w:p w:rsidR="00E13E37" w:rsidRDefault="00E13E37" w:rsidP="00D03539">
      <w:pPr>
        <w:shd w:val="clear" w:color="auto" w:fill="FFFFFF"/>
        <w:jc w:val="both"/>
        <w:rPr>
          <w:color w:val="000000"/>
        </w:rPr>
      </w:pPr>
    </w:p>
    <w:p w:rsidR="00E13E37" w:rsidRDefault="00E13E37" w:rsidP="00D03539">
      <w:pPr>
        <w:shd w:val="clear" w:color="auto" w:fill="FFFFFF"/>
        <w:ind w:firstLine="708"/>
        <w:jc w:val="both"/>
        <w:rPr>
          <w:color w:val="000000"/>
        </w:rPr>
      </w:pPr>
      <w:r>
        <w:rPr>
          <w:color w:val="000000"/>
        </w:rPr>
        <w:t>Последната приключила проверка е извършена от страна на</w:t>
      </w:r>
      <w:r w:rsidRPr="00C362DD">
        <w:rPr>
          <w:color w:val="000000"/>
          <w:lang w:val="ru-RU"/>
        </w:rPr>
        <w:t xml:space="preserve"> </w:t>
      </w:r>
      <w:r>
        <w:rPr>
          <w:color w:val="000000"/>
        </w:rPr>
        <w:t xml:space="preserve">Европейски орган за застраховане и професионално пенсионно осигуряване (EIOPA).  Проверката на място е  стартирала през август 2014г. С доклад за извършената проверка от началото на месец февруари 2015г., </w:t>
      </w:r>
      <w:r>
        <w:rPr>
          <w:color w:val="000000"/>
          <w:lang w:val="en-US"/>
        </w:rPr>
        <w:t>EIOPA</w:t>
      </w:r>
      <w:r w:rsidRPr="00C362DD">
        <w:rPr>
          <w:color w:val="000000"/>
          <w:lang w:val="ru-RU"/>
        </w:rPr>
        <w:t xml:space="preserve"> </w:t>
      </w:r>
      <w:r>
        <w:rPr>
          <w:color w:val="000000"/>
          <w:lang w:val="en-US"/>
        </w:rPr>
        <w:t>e</w:t>
      </w:r>
      <w:r w:rsidRPr="00C362DD">
        <w:rPr>
          <w:color w:val="000000"/>
          <w:lang w:val="ru-RU"/>
        </w:rPr>
        <w:t xml:space="preserve"> </w:t>
      </w:r>
      <w:r>
        <w:rPr>
          <w:color w:val="000000"/>
        </w:rPr>
        <w:t xml:space="preserve">уведомила КФН за резултатите от нея. </w:t>
      </w:r>
    </w:p>
    <w:p w:rsidR="00E13E37" w:rsidRPr="006A2F78" w:rsidRDefault="00E13E37" w:rsidP="00DC7AF5">
      <w:pPr>
        <w:ind w:firstLine="708"/>
        <w:jc w:val="both"/>
      </w:pPr>
      <w:r w:rsidRPr="006A2F78">
        <w:rPr>
          <w:color w:val="000000"/>
        </w:rPr>
        <w:t xml:space="preserve">Проверката </w:t>
      </w:r>
      <w:r>
        <w:rPr>
          <w:color w:val="000000"/>
        </w:rPr>
        <w:t xml:space="preserve">беше извършена с пълен </w:t>
      </w:r>
      <w:r w:rsidRPr="006A2F78">
        <w:rPr>
          <w:color w:val="000000"/>
        </w:rPr>
        <w:t>обхват</w:t>
      </w:r>
      <w:r>
        <w:rPr>
          <w:color w:val="000000"/>
        </w:rPr>
        <w:t xml:space="preserve"> на надзорната дейност</w:t>
      </w:r>
      <w:r w:rsidRPr="006A2F78">
        <w:rPr>
          <w:color w:val="000000"/>
        </w:rPr>
        <w:t>, в който бяха включени действащите законови и подзаконови нормативни актове, надзорните практики на Комисията, способите за оценка на риска и подготовката за прилагане в практиката на директивата Платежоспособност 2.</w:t>
      </w:r>
      <w:r>
        <w:rPr>
          <w:color w:val="000000"/>
        </w:rPr>
        <w:t>, включително чрез разглеждане на досиета на отделни поднадзорни лица.</w:t>
      </w:r>
      <w:r w:rsidRPr="006A2F78">
        <w:rPr>
          <w:color w:val="000000"/>
        </w:rPr>
        <w:t xml:space="preserve"> </w:t>
      </w:r>
    </w:p>
    <w:p w:rsidR="00E13E37" w:rsidRDefault="00E13E37" w:rsidP="00D03539">
      <w:pPr>
        <w:shd w:val="clear" w:color="auto" w:fill="FFFFFF"/>
        <w:ind w:firstLine="708"/>
        <w:jc w:val="both"/>
        <w:rPr>
          <w:color w:val="000000"/>
        </w:rPr>
      </w:pPr>
    </w:p>
    <w:p w:rsidR="00E13E37" w:rsidRDefault="00E13E37" w:rsidP="00D03539">
      <w:pPr>
        <w:shd w:val="clear" w:color="auto" w:fill="FFFFFF"/>
        <w:ind w:firstLine="708"/>
        <w:jc w:val="both"/>
        <w:rPr>
          <w:color w:val="000000"/>
        </w:rPr>
      </w:pPr>
      <w:r>
        <w:rPr>
          <w:color w:val="000000"/>
        </w:rPr>
        <w:t>В доклада за извършваната проверка от Европейския орган за застраховане и професионално пенсионно осигуряване (EIOPA) е посочено следното:</w:t>
      </w:r>
    </w:p>
    <w:p w:rsidR="00E13E37" w:rsidRPr="00EA2F60" w:rsidRDefault="00E13E37" w:rsidP="00D03539">
      <w:pPr>
        <w:shd w:val="clear" w:color="auto" w:fill="FFFFFF"/>
        <w:ind w:firstLine="708"/>
        <w:jc w:val="both"/>
        <w:rPr>
          <w:color w:val="000000"/>
        </w:rPr>
      </w:pPr>
    </w:p>
    <w:p w:rsidR="00E13E37" w:rsidRPr="00EA2F60" w:rsidRDefault="00E13E37" w:rsidP="00D03539">
      <w:pPr>
        <w:shd w:val="clear" w:color="auto" w:fill="FFFFFF"/>
        <w:ind w:firstLine="708"/>
        <w:jc w:val="both"/>
        <w:rPr>
          <w:i/>
          <w:iCs/>
          <w:sz w:val="22"/>
          <w:szCs w:val="22"/>
        </w:rPr>
      </w:pPr>
      <w:r w:rsidRPr="00EA2F60">
        <w:rPr>
          <w:i/>
          <w:iCs/>
          <w:color w:val="000000"/>
        </w:rPr>
        <w:t>„</w:t>
      </w:r>
      <w:r w:rsidRPr="00EA2F60">
        <w:rPr>
          <w:i/>
          <w:iCs/>
          <w:sz w:val="22"/>
          <w:szCs w:val="22"/>
        </w:rPr>
        <w:t>Based on the information provided, the SPOT (</w:t>
      </w:r>
      <w:r w:rsidRPr="00EA2F60">
        <w:rPr>
          <w:sz w:val="22"/>
          <w:szCs w:val="22"/>
        </w:rPr>
        <w:t>EIOPA’s Supervisory Oversight Team)</w:t>
      </w:r>
      <w:r w:rsidRPr="00EA2F60">
        <w:rPr>
          <w:i/>
          <w:iCs/>
          <w:sz w:val="22"/>
          <w:szCs w:val="22"/>
        </w:rPr>
        <w:t xml:space="preserve"> considers that in general the outcome of the assessment is positive”.</w:t>
      </w:r>
    </w:p>
    <w:p w:rsidR="00E13E37" w:rsidRPr="00EA2F60" w:rsidRDefault="00E13E37" w:rsidP="00D03539">
      <w:pPr>
        <w:shd w:val="clear" w:color="auto" w:fill="FFFFFF"/>
        <w:ind w:firstLine="708"/>
        <w:jc w:val="both"/>
        <w:rPr>
          <w:i/>
          <w:iCs/>
          <w:sz w:val="22"/>
          <w:szCs w:val="22"/>
        </w:rPr>
      </w:pPr>
    </w:p>
    <w:p w:rsidR="00E13E37" w:rsidRPr="00EA2F60" w:rsidRDefault="00E13E37" w:rsidP="00D03539">
      <w:pPr>
        <w:shd w:val="clear" w:color="auto" w:fill="FFFFFF"/>
        <w:ind w:firstLine="708"/>
        <w:jc w:val="both"/>
        <w:rPr>
          <w:i/>
          <w:iCs/>
          <w:color w:val="000000"/>
        </w:rPr>
      </w:pPr>
      <w:r w:rsidRPr="00EA2F60">
        <w:rPr>
          <w:i/>
          <w:iCs/>
          <w:color w:val="000000"/>
        </w:rPr>
        <w:t xml:space="preserve">"Въз основа на предоставената информация, проверяващият екип от </w:t>
      </w:r>
      <w:r w:rsidRPr="00EA2F60">
        <w:rPr>
          <w:i/>
          <w:iCs/>
          <w:color w:val="000000"/>
          <w:lang w:val="en-US"/>
        </w:rPr>
        <w:t>EIOPA</w:t>
      </w:r>
      <w:r w:rsidRPr="00C362DD">
        <w:rPr>
          <w:i/>
          <w:iCs/>
          <w:color w:val="000000"/>
          <w:lang w:val="ru-RU"/>
        </w:rPr>
        <w:t xml:space="preserve"> </w:t>
      </w:r>
      <w:r w:rsidRPr="00EA2F60">
        <w:rPr>
          <w:i/>
          <w:iCs/>
          <w:color w:val="000000"/>
        </w:rPr>
        <w:t xml:space="preserve"> счита, че като цяло резултатът от проверката/оценката е положителен".</w:t>
      </w:r>
    </w:p>
    <w:p w:rsidR="00E13E37" w:rsidRPr="00EA2F60" w:rsidRDefault="00E13E37" w:rsidP="00D03539">
      <w:pPr>
        <w:shd w:val="clear" w:color="auto" w:fill="FFFFFF"/>
        <w:ind w:firstLine="708"/>
        <w:jc w:val="both"/>
        <w:rPr>
          <w:color w:val="000000"/>
        </w:rPr>
      </w:pPr>
    </w:p>
    <w:p w:rsidR="00E13E37" w:rsidRPr="00C362DD" w:rsidRDefault="00E13E37" w:rsidP="00D03539">
      <w:pPr>
        <w:shd w:val="clear" w:color="auto" w:fill="FFFFFF"/>
        <w:ind w:firstLine="708"/>
        <w:jc w:val="both"/>
        <w:rPr>
          <w:color w:val="000000"/>
          <w:lang w:val="ru-RU"/>
        </w:rPr>
      </w:pPr>
      <w:r>
        <w:rPr>
          <w:color w:val="000000"/>
        </w:rPr>
        <w:t xml:space="preserve">Практиката КФН да бъде обект на проверки от страна на </w:t>
      </w:r>
      <w:r>
        <w:rPr>
          <w:color w:val="000000"/>
          <w:lang w:val="en-US"/>
        </w:rPr>
        <w:t>ESMA</w:t>
      </w:r>
      <w:r w:rsidRPr="00C362DD">
        <w:rPr>
          <w:color w:val="000000"/>
          <w:lang w:val="ru-RU"/>
        </w:rPr>
        <w:t xml:space="preserve"> </w:t>
      </w:r>
      <w:r>
        <w:rPr>
          <w:color w:val="000000"/>
        </w:rPr>
        <w:t xml:space="preserve">и </w:t>
      </w:r>
      <w:r>
        <w:rPr>
          <w:color w:val="000000"/>
          <w:lang w:val="en-US"/>
        </w:rPr>
        <w:t>EIOPA</w:t>
      </w:r>
      <w:r>
        <w:rPr>
          <w:color w:val="000000"/>
        </w:rPr>
        <w:t xml:space="preserve"> не само, че няма да се ограничава в бъдеще, но и ще се задълбочава, както от гледна точка на теми, така и от гледна точка на обхват, съобразно европейското законодателство и надзорните практики.</w:t>
      </w:r>
    </w:p>
    <w:p w:rsidR="00E13E37" w:rsidRPr="006A2F78" w:rsidRDefault="00E13E37" w:rsidP="00B07A91">
      <w:pPr>
        <w:ind w:firstLine="708"/>
        <w:jc w:val="both"/>
      </w:pPr>
      <w:r w:rsidRPr="006A2F78">
        <w:t xml:space="preserve">В потвърждение на горното, в </w:t>
      </w:r>
      <w:r>
        <w:t xml:space="preserve">края на октомври 2014г. в </w:t>
      </w:r>
      <w:r w:rsidRPr="006A2F78">
        <w:t>КФН постъпи писмо от Европейската Комисия, в което се поставят въпроси относно прилагането на разпоредбите за пазарните злоупотреби по отношение на „Корпоративна Търговска Банка” АД. Изпратен е отговор, в който е уточнено, че с приемането на Закона срещу пазарните злоупотреби с финансови инструменти изцяло са въведени разпоредбите на Директива № 2003/6/ЕО за пазарна злоупотреба в българското законодателство. Също така е представена информация относно „Корпоративна Търговска Банка” АД, включваща данни за търговията с акциите на дружеството, обстоятелствата около поставянето на банка под специален надзор, отразените в медиите събития, отнасящи се за дейността на дружеството. Отразени са и предприетите от страна на КФН действия, във връзка с публикуваните прессъобщения, с които обръща внимание на всички медии и други лица изказващи се за публични дружества, че разпространяването на информация за емисии финансови инструменти допуснати до търговия на регулиран пазар и техните емитенти трябва да отговоря на законово определени изисквания и неспазването им подлежи на санкциониране.</w:t>
      </w:r>
    </w:p>
    <w:p w:rsidR="00E13E37" w:rsidRPr="006A2F78" w:rsidRDefault="00E13E37" w:rsidP="00B07A91">
      <w:pPr>
        <w:ind w:firstLine="709"/>
        <w:jc w:val="both"/>
      </w:pPr>
      <w:r w:rsidRPr="006A2F78">
        <w:t>Предоставена е информация и относно постъпилите в КФН сигнали, за евентуални нарушения на Закона за кредитните институции и за разпространяване на невярна информация за поднадзорни на КФН лица, по които са започнали проверки. Отделно от получените сигнали във връзка с осъществявания текущ надзор КФН е инициирала проверки за публикации отразяващи ценово чувствителна информация за емитенти финансови институции, за която са възникнали съмнения, че е невярна или подвеждаща.</w:t>
      </w:r>
    </w:p>
    <w:p w:rsidR="00E13E37" w:rsidRDefault="00E13E37" w:rsidP="00B07A91">
      <w:pPr>
        <w:ind w:firstLine="709"/>
        <w:jc w:val="both"/>
      </w:pPr>
      <w:r w:rsidRPr="006A2F78">
        <w:t>Също така е предоставена допълнителна информация, касаеща проверките за разпространяването на невярна или подвеждаща информация отнасяща се за „Първа Инвестиционна Банка” АД, при които са установени нарушения съставляващи манипулация на пазара на финансови инструменти.</w:t>
      </w:r>
    </w:p>
    <w:p w:rsidR="00E13E37" w:rsidRPr="006A2F78" w:rsidRDefault="00E13E37" w:rsidP="00B07A91">
      <w:pPr>
        <w:ind w:firstLine="709"/>
        <w:jc w:val="both"/>
      </w:pPr>
    </w:p>
    <w:p w:rsidR="00E13E37" w:rsidRDefault="00E13E37" w:rsidP="00B07A91">
      <w:pPr>
        <w:ind w:firstLine="709"/>
        <w:jc w:val="both"/>
      </w:pPr>
      <w:r w:rsidRPr="008768C5">
        <w:rPr>
          <w:b/>
          <w:bCs/>
        </w:rPr>
        <w:t>В резултат на така представения отговор, от Европейската Комисия е получено второ писмо, в което подкрепят действията на България относно факта, че Директива 2003/6/ЕС е напълно транспонирана в българското законодателство, както и за поясненията относно нейното прилагане в България. Във последващото писмо е отчетена отговорността на националните компетентни органи и на съдилищата да разследват възможни случаи на пазарни злоупотреби и да установяват дали подобно поведение е в съответствие с националното законодателство, което транспонира Директива 2003/6/ЕС</w:t>
      </w:r>
      <w:r w:rsidRPr="006A2F78">
        <w:t xml:space="preserve">. </w:t>
      </w:r>
    </w:p>
    <w:p w:rsidR="00E13E37" w:rsidRPr="006A2F78" w:rsidRDefault="00E13E37" w:rsidP="00B07A91">
      <w:pPr>
        <w:ind w:firstLine="709"/>
        <w:jc w:val="both"/>
      </w:pPr>
      <w:r w:rsidRPr="006A2F78">
        <w:t>Също така проявяват интерес да бъдат информирани относно бъдещите действия по отношение на проверките които продължават, както и за последващите действия, предприети от административните компетентни органи, с оглед прилагането на българското законодателство по отношение на пазарните злоупотреби, имплементиращо Директивата за пазарни злоупотреби.</w:t>
      </w:r>
    </w:p>
    <w:p w:rsidR="00E13E37" w:rsidRPr="006A2F78" w:rsidRDefault="00E13E37">
      <w:r w:rsidRPr="006A2F78">
        <w:br w:type="page"/>
      </w:r>
    </w:p>
    <w:p w:rsidR="00E13E37" w:rsidRPr="006A2F78" w:rsidRDefault="00E13E37" w:rsidP="00E11D0A">
      <w:pPr>
        <w:pStyle w:val="Heading2"/>
        <w:numPr>
          <w:ilvl w:val="0"/>
          <w:numId w:val="12"/>
        </w:numPr>
      </w:pPr>
      <w:r w:rsidRPr="006A2F78">
        <w:t>Съществуват данни за сделки със свързани лица над позволения лимит, които са извършени от някои пенсионни фондове. Подобни публични изявления има и от представители на изпълнителната власт. Установило ли е КФН наличието на подобни практики? Ако "Да", какви мерки са били предприети, предвид че такива сделки са в нарушение на закона?</w:t>
      </w:r>
    </w:p>
    <w:p w:rsidR="00E13E37" w:rsidRPr="006A2F78" w:rsidRDefault="00E13E37" w:rsidP="00CB23DA">
      <w:pPr>
        <w:ind w:firstLine="708"/>
      </w:pPr>
    </w:p>
    <w:p w:rsidR="00E13E37" w:rsidRPr="006A2F78" w:rsidRDefault="00E13E37" w:rsidP="008A3C92">
      <w:pPr>
        <w:spacing w:before="60"/>
        <w:ind w:firstLine="709"/>
        <w:jc w:val="both"/>
        <w:rPr>
          <w:color w:val="000000"/>
        </w:rPr>
      </w:pPr>
      <w:r w:rsidRPr="006A2F78">
        <w:rPr>
          <w:color w:val="000000"/>
        </w:rPr>
        <w:t>ПОД не може да инвестира средствата на управляваните от него пенсионни фондове в ценни книжа, които са издадени от него или свързани с него лица. Не се допуска инвестиране на средствата на фондовете и в ценни книжа, издадени от банката - попечител, инвестиционния посредник и свързаните с тях лица. Тези забрани са регламентирани в чл. 177, ал. 1 във връзка с чл. 249 от КСО.</w:t>
      </w:r>
    </w:p>
    <w:p w:rsidR="00E13E37" w:rsidRPr="006A2F78" w:rsidRDefault="00E13E37" w:rsidP="008A3C92">
      <w:pPr>
        <w:spacing w:before="60"/>
        <w:ind w:firstLine="709"/>
        <w:jc w:val="both"/>
        <w:rPr>
          <w:color w:val="000000"/>
        </w:rPr>
      </w:pPr>
      <w:r w:rsidRPr="006A2F78">
        <w:rPr>
          <w:color w:val="000000"/>
        </w:rPr>
        <w:t>Законът също така забранява активи на пенсионните фондове да бъдат придобивани от ПОД и свързаните с него лица, както и пенсионните фондове да придобиват активи от тях. Аналогични забрани са налице и по отношение на членовете на управителния и контролния орган на ПОД, инвестиционните му консултанти, управляващото дружество, с което ПОД е сключило договор за инвестиционни консултации (вкл. членовете на управителните и контролните органи на това дружество), както и по отношение на свързаните с тях лица. Тези забрани, предвидени в чл. 177, ал. 2 и 3 от КСО, не се прилагат в случаите на търговия на ценни книжа на регулиран пазар (чл. 177, ал. 4 от КСО).</w:t>
      </w:r>
    </w:p>
    <w:p w:rsidR="00E13E37" w:rsidRPr="006A2F78" w:rsidRDefault="00E13E37" w:rsidP="008A3C92">
      <w:pPr>
        <w:spacing w:before="60"/>
        <w:ind w:firstLine="709"/>
        <w:jc w:val="both"/>
        <w:rPr>
          <w:color w:val="000000"/>
        </w:rPr>
      </w:pPr>
      <w:r w:rsidRPr="006A2F78">
        <w:rPr>
          <w:color w:val="000000"/>
        </w:rPr>
        <w:t>С цел ограничаване на концентрационния риск КСО също така предвижда, че ПОД може да инвестира не повече от 10 на сто от активите на пенсионния фонд във финансови инструменти, издадени от един емитент и свързаните с него лица (</w:t>
      </w:r>
      <w:r w:rsidRPr="006A2F78">
        <w:t>чл. 178, ал.1, изр.1, пр.2 от КСО и чл. 251, ал.1, пр.2 от КСО</w:t>
      </w:r>
      <w:r w:rsidRPr="006A2F78">
        <w:rPr>
          <w:color w:val="000000"/>
        </w:rPr>
        <w:t xml:space="preserve">). </w:t>
      </w:r>
    </w:p>
    <w:p w:rsidR="00E13E37" w:rsidRPr="006A2F78" w:rsidRDefault="00E13E37" w:rsidP="008A3C92">
      <w:pPr>
        <w:spacing w:before="60"/>
        <w:ind w:firstLine="709"/>
        <w:jc w:val="both"/>
        <w:rPr>
          <w:color w:val="000000"/>
        </w:rPr>
      </w:pPr>
      <w:r w:rsidRPr="006A2F78">
        <w:rPr>
          <w:color w:val="000000"/>
        </w:rPr>
        <w:t>КФН осъществява стриктен надзор за спазването на разгледаните по-горе забрани и ограничения. За установени през периода от 2006 г. до края на 2014 г. случаи на нарушения на чл. 177 от КСО, касаещи сделки със свързани лица, са издадени общо 44 броя наказателни постановления (НП), от които към момента 36 броя са влезли в законна сила. През периода от 2003 г. до 2005 г. не са установявани нарушения от посочения вид.  По години издадените и влезли в сила НП са: през 2006 г. са издадени 5 бр. НП, от които в сила са влезли 4 бр. НП; през 2007 г. са издадени 2 бр. НП, които са влезли в сила; през 2008 г. са издадени 5 бр. НП, които са влезли в сила; през 2009 г. са издадени 5 бр. НП, от които в сила са влезли 4 бр. НП; през 2010 г. са издадени 4 бр. НП, които са влезли в сила; през 2011 г. са издадени 13 бр. НП, от които в сила са влезли 10 бр. НП; през 2012г. са издадени 4 бр. НП, от които в сила са влезли 2 бр. НП; през 2013 г. е издадено 1 НП, което е влязло в сила; през 2014 г. са издадени 5 бр. НП, от които в сила са влезли 4 бр. НП.</w:t>
      </w:r>
    </w:p>
    <w:p w:rsidR="00E13E37" w:rsidRPr="006A2F78" w:rsidRDefault="00E13E37" w:rsidP="008A3C92">
      <w:pPr>
        <w:spacing w:before="60"/>
        <w:ind w:firstLine="709"/>
        <w:jc w:val="both"/>
      </w:pPr>
      <w:r w:rsidRPr="006A2F78">
        <w:t>При извършвания от КФН надзор също така са установени шест случая на нарушения на чл. 178, ал.1, изр.1, пр.2 от КСО и чл. 251, ал.1, пр.2 от КСО, въз основа на които са издадени общо шест броя наказателни постановления – два броя през 2014 г., два броя през 2013 г. и два броя през 2007 г. Към момента издадените през 2013 г. и 2014 г. наказателни постановления са в процедура по съдебно обжалване. Издадените през 2007 г. НП не са обжалвани и са влезли в законна сила.</w:t>
      </w:r>
    </w:p>
    <w:p w:rsidR="00E13E37" w:rsidRPr="006A2F78" w:rsidRDefault="00E13E37">
      <w:r w:rsidRPr="006A2F78">
        <w:br w:type="page"/>
      </w:r>
    </w:p>
    <w:p w:rsidR="00E13E37" w:rsidRPr="006A2F78" w:rsidRDefault="00E13E37" w:rsidP="00E11D0A">
      <w:pPr>
        <w:pStyle w:val="Heading2"/>
        <w:numPr>
          <w:ilvl w:val="0"/>
          <w:numId w:val="12"/>
        </w:numPr>
      </w:pPr>
      <w:r w:rsidRPr="006A2F78">
        <w:t>На заседание на парламентарната социална комисия от миналата седмица по промените в Кодекса за социално осигуряване с участие на КФН пенсионните дружества са представили детайлна информация за управляваните портфейли. Вярно ли е, че някои от пенсионните дружества не са разкрили такава информация, кои са и какви са причините, още повече че КФН получава всекидневно данни за техните инвестиции?</w:t>
      </w:r>
    </w:p>
    <w:p w:rsidR="00E13E37" w:rsidRPr="006A2F78" w:rsidRDefault="00E13E37" w:rsidP="00CB23DA">
      <w:pPr>
        <w:autoSpaceDE w:val="0"/>
        <w:autoSpaceDN w:val="0"/>
        <w:adjustRightInd w:val="0"/>
        <w:ind w:firstLine="708"/>
        <w:jc w:val="both"/>
      </w:pPr>
    </w:p>
    <w:p w:rsidR="00E13E37" w:rsidRDefault="00E13E37" w:rsidP="00CB23DA">
      <w:pPr>
        <w:autoSpaceDE w:val="0"/>
        <w:autoSpaceDN w:val="0"/>
        <w:adjustRightInd w:val="0"/>
        <w:ind w:firstLine="708"/>
        <w:jc w:val="both"/>
      </w:pPr>
      <w:r w:rsidRPr="006A2F78">
        <w:t>Във връзка с разкриването на информация за портфейлите на пенсионните фондове следва да посочим, че съгласно чл. 180, ал. 1 от Кодекса за социално осигуряване (КСО) пенсионноосигурителните дружества са задължени да оповестяват информация към края на всяка година за обема и структурата на инвестициите по видове активи и емитенти на ценни книжа за всеки управляван пенсионен фонд. Информацията се публикува в срок до 31.03. на следващата година на  интернет страницата на дружеството във формат и със съдържание, определени от КФН в ИЗИСКВАНИЯТА към рекламните и писмените информационни материали на пенсионните фондове и на пенсионноосигурителните дружества по чл. 123и, ал. 2 и чл. 180, ал. 2, т. 1 и т. 2 от КСО (по-конкретно приложения от № 1 до № 3 към този документ). Предвид изложеното към настоящия момент не е изтекъл законовия срок за оповестяване на информацията за инвестиционните портфейли на пенсионните фондове за 2014 г. По отношение на информацията за предходни години не са налице случаи, в които пенсионноосигурително дружество да не е изпълнило задължението за разкриване на информация по чл.180, ал1 от КСО.</w:t>
      </w:r>
    </w:p>
    <w:p w:rsidR="00E13E37" w:rsidRDefault="00E13E37" w:rsidP="00CB23DA">
      <w:pPr>
        <w:autoSpaceDE w:val="0"/>
        <w:autoSpaceDN w:val="0"/>
        <w:adjustRightInd w:val="0"/>
        <w:ind w:firstLine="708"/>
        <w:jc w:val="both"/>
      </w:pPr>
    </w:p>
    <w:p w:rsidR="00E13E37" w:rsidRDefault="00E13E37" w:rsidP="00AB3492">
      <w:pPr>
        <w:widowControl w:val="0"/>
        <w:autoSpaceDE w:val="0"/>
        <w:autoSpaceDN w:val="0"/>
        <w:adjustRightInd w:val="0"/>
        <w:spacing w:line="252" w:lineRule="auto"/>
        <w:ind w:firstLine="709"/>
        <w:jc w:val="both"/>
      </w:pPr>
      <w:r>
        <w:t xml:space="preserve">Във връзка с поисканата детайлна информация от страна на Комисията по бюджет и финанси с писмо с изх. </w:t>
      </w:r>
      <w:r w:rsidRPr="00F53C27">
        <w:t>№</w:t>
      </w:r>
      <w:r>
        <w:rPr>
          <w:b/>
          <w:bCs/>
        </w:rPr>
        <w:t xml:space="preserve"> </w:t>
      </w:r>
      <w:r w:rsidRPr="00F53C27">
        <w:t xml:space="preserve">КБФ-453-02.18 от 22.12.2014 г. </w:t>
      </w:r>
      <w:r>
        <w:t xml:space="preserve">за универсалните пенсионни фондове (УПФ), с наше писмо с номер 02 -00-17/29.01.15г. предоставихме в НС </w:t>
      </w:r>
      <w:r w:rsidRPr="00AB3492">
        <w:rPr>
          <w:color w:val="222222"/>
        </w:rPr>
        <w:t>детайлна информация</w:t>
      </w:r>
      <w:r w:rsidRPr="00AB3492">
        <w:rPr>
          <w:rStyle w:val="apple-converted-space"/>
          <w:color w:val="222222"/>
        </w:rPr>
        <w:t> </w:t>
      </w:r>
      <w:r w:rsidRPr="00AB3492">
        <w:rPr>
          <w:color w:val="222222"/>
        </w:rPr>
        <w:t>за инвестициите на универсалните пенсионни фондове (УПФ) към 31.12.2014 г., както и информация за разходите за заплати, осигурителни посредници и осигуровки, и за таксите и удръжките от УПФ към 30.11.2014 година</w:t>
      </w:r>
      <w:r>
        <w:t>:</w:t>
      </w:r>
    </w:p>
    <w:p w:rsidR="00E13E37" w:rsidRDefault="00E13E37" w:rsidP="00AB3492">
      <w:pPr>
        <w:widowControl w:val="0"/>
        <w:numPr>
          <w:ilvl w:val="0"/>
          <w:numId w:val="21"/>
        </w:numPr>
        <w:autoSpaceDE w:val="0"/>
        <w:autoSpaceDN w:val="0"/>
        <w:adjustRightInd w:val="0"/>
        <w:spacing w:line="252" w:lineRule="auto"/>
        <w:jc w:val="both"/>
      </w:pPr>
      <w:r>
        <w:t>Обобщена справка за стойността на портфейла по видове активи за всички УПФ към 31.12.2014 г.</w:t>
      </w:r>
    </w:p>
    <w:p w:rsidR="00E13E37" w:rsidRDefault="00E13E37" w:rsidP="00AB3492">
      <w:pPr>
        <w:widowControl w:val="0"/>
        <w:numPr>
          <w:ilvl w:val="0"/>
          <w:numId w:val="21"/>
        </w:numPr>
        <w:autoSpaceDE w:val="0"/>
        <w:autoSpaceDN w:val="0"/>
        <w:adjustRightInd w:val="0"/>
        <w:spacing w:line="252" w:lineRule="auto"/>
        <w:jc w:val="both"/>
      </w:pPr>
      <w:r>
        <w:t xml:space="preserve">Справка за стойността на инвестициите на УПФ в банкови депозити по банки към 31.12.2014 г.;  </w:t>
      </w:r>
    </w:p>
    <w:p w:rsidR="00E13E37" w:rsidRDefault="00E13E37" w:rsidP="00AB3492">
      <w:pPr>
        <w:widowControl w:val="0"/>
        <w:numPr>
          <w:ilvl w:val="0"/>
          <w:numId w:val="21"/>
        </w:numPr>
        <w:autoSpaceDE w:val="0"/>
        <w:autoSpaceDN w:val="0"/>
        <w:adjustRightInd w:val="0"/>
        <w:spacing w:line="252" w:lineRule="auto"/>
        <w:jc w:val="both"/>
      </w:pPr>
      <w:r>
        <w:t>Справка за стойността на инвестициите в ДЦК, притежавани от УПФ към 31.12.2014 г.;</w:t>
      </w:r>
    </w:p>
    <w:p w:rsidR="00E13E37" w:rsidRDefault="00E13E37" w:rsidP="00AB3492">
      <w:pPr>
        <w:widowControl w:val="0"/>
        <w:numPr>
          <w:ilvl w:val="0"/>
          <w:numId w:val="21"/>
        </w:numPr>
        <w:autoSpaceDE w:val="0"/>
        <w:autoSpaceDN w:val="0"/>
        <w:adjustRightInd w:val="0"/>
        <w:spacing w:line="252" w:lineRule="auto"/>
        <w:jc w:val="both"/>
      </w:pPr>
      <w:r w:rsidRPr="00250DE1">
        <w:t>Справка за стойността на инвестициите на УПФ в акции към 31.12.2014 г.;</w:t>
      </w:r>
    </w:p>
    <w:p w:rsidR="00E13E37" w:rsidRDefault="00E13E37" w:rsidP="00AB3492">
      <w:pPr>
        <w:widowControl w:val="0"/>
        <w:numPr>
          <w:ilvl w:val="0"/>
          <w:numId w:val="21"/>
        </w:numPr>
        <w:autoSpaceDE w:val="0"/>
        <w:autoSpaceDN w:val="0"/>
        <w:adjustRightInd w:val="0"/>
        <w:spacing w:line="252" w:lineRule="auto"/>
        <w:jc w:val="both"/>
      </w:pPr>
      <w:r>
        <w:t>Справка за разходите за заплати, осигурителни посредници и осигуровки към 30</w:t>
      </w:r>
      <w:r w:rsidRPr="00AB3492">
        <w:rPr>
          <w:lang w:val="ru-RU"/>
        </w:rPr>
        <w:t>.11.</w:t>
      </w:r>
      <w:r w:rsidRPr="00250DE1">
        <w:t>2014 г.</w:t>
      </w:r>
      <w:r>
        <w:t>;</w:t>
      </w:r>
    </w:p>
    <w:p w:rsidR="00E13E37" w:rsidRDefault="00E13E37" w:rsidP="00AB3492">
      <w:pPr>
        <w:widowControl w:val="0"/>
        <w:numPr>
          <w:ilvl w:val="0"/>
          <w:numId w:val="21"/>
        </w:numPr>
        <w:autoSpaceDE w:val="0"/>
        <w:autoSpaceDN w:val="0"/>
        <w:adjustRightInd w:val="0"/>
        <w:spacing w:line="252" w:lineRule="auto"/>
        <w:jc w:val="both"/>
      </w:pPr>
      <w:r w:rsidRPr="00250DE1">
        <w:t>Справка за таксите и удръжките (по видове)</w:t>
      </w:r>
      <w:r w:rsidRPr="00AB3492">
        <w:rPr>
          <w:lang w:val="ru-RU"/>
        </w:rPr>
        <w:t xml:space="preserve"> </w:t>
      </w:r>
      <w:r>
        <w:t>от УПФ</w:t>
      </w:r>
      <w:r w:rsidRPr="00250DE1">
        <w:t xml:space="preserve"> към 30.11.2014 г. на пенсионноосигурителните дружества (ПОД)</w:t>
      </w:r>
      <w:r>
        <w:t>;</w:t>
      </w:r>
    </w:p>
    <w:p w:rsidR="00E13E37" w:rsidRPr="00AB3492" w:rsidRDefault="00E13E37" w:rsidP="00AB3492">
      <w:pPr>
        <w:widowControl w:val="0"/>
        <w:numPr>
          <w:ilvl w:val="0"/>
          <w:numId w:val="21"/>
        </w:numPr>
        <w:autoSpaceDE w:val="0"/>
        <w:autoSpaceDN w:val="0"/>
        <w:adjustRightInd w:val="0"/>
        <w:spacing w:line="252" w:lineRule="auto"/>
        <w:jc w:val="both"/>
      </w:pPr>
      <w:r w:rsidRPr="00AB3492">
        <w:t>Справка за размера (в %) на таксите и удръжките от УПФ на всички ПОД;</w:t>
      </w:r>
    </w:p>
    <w:p w:rsidR="00E13E37" w:rsidRPr="00AB3492" w:rsidRDefault="00E13E37" w:rsidP="00CB23DA">
      <w:pPr>
        <w:autoSpaceDE w:val="0"/>
        <w:autoSpaceDN w:val="0"/>
        <w:adjustRightInd w:val="0"/>
        <w:ind w:firstLine="708"/>
        <w:jc w:val="both"/>
      </w:pPr>
    </w:p>
    <w:p w:rsidR="00E13E37" w:rsidRPr="00AB3492" w:rsidRDefault="00E13E37" w:rsidP="00AB3492">
      <w:pPr>
        <w:shd w:val="clear" w:color="auto" w:fill="FFFFFF"/>
        <w:spacing w:line="202" w:lineRule="atLeast"/>
        <w:ind w:firstLine="709"/>
        <w:jc w:val="both"/>
        <w:rPr>
          <w:color w:val="222222"/>
        </w:rPr>
      </w:pPr>
      <w:r w:rsidRPr="00AB3492">
        <w:rPr>
          <w:color w:val="222222"/>
        </w:rPr>
        <w:t xml:space="preserve">На заседание на Комисията по труда, социалната и демографската политика проведено на 21.01.2015 г. Българската асоциация на дружествата за допълнително пенсионно осигуряване (БАДДПО) са представили информация за инвестициите на УПФ към 20.01.2015 година. Предварителните годишни финансови отчети на пенсионноосигурителните дружества и управляваните от тях фондове за допълнително пенсионно осигуряване са представени в Комисията за финансов надзор на 20.01.2015 година. С цел актуализиране и уеднаквяване на информацията представена на народните представители, </w:t>
      </w:r>
      <w:r>
        <w:rPr>
          <w:color w:val="222222"/>
        </w:rPr>
        <w:t xml:space="preserve">с наше писмо с номер 02-00 – 17/03.02.2015г. допълнително </w:t>
      </w:r>
      <w:r w:rsidRPr="00AB3492">
        <w:rPr>
          <w:color w:val="222222"/>
        </w:rPr>
        <w:t>предостав</w:t>
      </w:r>
      <w:r>
        <w:rPr>
          <w:color w:val="222222"/>
        </w:rPr>
        <w:t>ихме и</w:t>
      </w:r>
      <w:r w:rsidRPr="00AB3492">
        <w:rPr>
          <w:color w:val="222222"/>
        </w:rPr>
        <w:t>:</w:t>
      </w:r>
    </w:p>
    <w:p w:rsidR="00E13E37" w:rsidRPr="00AB3492" w:rsidRDefault="00E13E37" w:rsidP="00556D41">
      <w:pPr>
        <w:shd w:val="clear" w:color="auto" w:fill="FFFFFF"/>
        <w:spacing w:line="202" w:lineRule="atLeast"/>
        <w:jc w:val="both"/>
        <w:rPr>
          <w:color w:val="222222"/>
        </w:rPr>
      </w:pPr>
      <w:r w:rsidRPr="00AB3492">
        <w:rPr>
          <w:color w:val="222222"/>
        </w:rPr>
        <w:t>·       </w:t>
      </w:r>
      <w:r w:rsidRPr="00AB3492">
        <w:rPr>
          <w:rStyle w:val="apple-converted-space"/>
          <w:color w:val="222222"/>
        </w:rPr>
        <w:t> </w:t>
      </w:r>
      <w:r w:rsidRPr="00AB3492">
        <w:rPr>
          <w:color w:val="222222"/>
        </w:rPr>
        <w:t>Обобщена справка за стойността на портфейла по видове активи за всички УПФ към</w:t>
      </w:r>
      <w:r w:rsidRPr="00AB3492">
        <w:rPr>
          <w:rStyle w:val="apple-converted-space"/>
          <w:color w:val="222222"/>
        </w:rPr>
        <w:t> </w:t>
      </w:r>
      <w:r w:rsidRPr="00AB3492">
        <w:rPr>
          <w:color w:val="222222"/>
          <w:lang w:val="ru-RU"/>
        </w:rPr>
        <w:t>20</w:t>
      </w:r>
      <w:r w:rsidRPr="00AB3492">
        <w:rPr>
          <w:color w:val="222222"/>
        </w:rPr>
        <w:t>.</w:t>
      </w:r>
      <w:r w:rsidRPr="00AB3492">
        <w:rPr>
          <w:color w:val="222222"/>
          <w:lang w:val="ru-RU"/>
        </w:rPr>
        <w:t>01</w:t>
      </w:r>
      <w:r w:rsidRPr="00AB3492">
        <w:rPr>
          <w:color w:val="222222"/>
        </w:rPr>
        <w:t>.201</w:t>
      </w:r>
      <w:r w:rsidRPr="00AB3492">
        <w:rPr>
          <w:color w:val="222222"/>
          <w:lang w:val="ru-RU"/>
        </w:rPr>
        <w:t>5</w:t>
      </w:r>
      <w:r w:rsidRPr="00AB3492">
        <w:rPr>
          <w:rStyle w:val="apple-converted-space"/>
          <w:color w:val="222222"/>
        </w:rPr>
        <w:t> </w:t>
      </w:r>
      <w:r w:rsidRPr="00AB3492">
        <w:rPr>
          <w:color w:val="222222"/>
        </w:rPr>
        <w:t>г.;</w:t>
      </w:r>
    </w:p>
    <w:p w:rsidR="00E13E37" w:rsidRPr="00AB3492" w:rsidRDefault="00E13E37" w:rsidP="00556D41">
      <w:pPr>
        <w:shd w:val="clear" w:color="auto" w:fill="FFFFFF"/>
        <w:spacing w:line="202" w:lineRule="atLeast"/>
        <w:jc w:val="both"/>
        <w:rPr>
          <w:color w:val="222222"/>
        </w:rPr>
      </w:pPr>
      <w:r w:rsidRPr="00AB3492">
        <w:rPr>
          <w:color w:val="222222"/>
        </w:rPr>
        <w:t>·       </w:t>
      </w:r>
      <w:r w:rsidRPr="00AB3492">
        <w:rPr>
          <w:rStyle w:val="apple-converted-space"/>
          <w:color w:val="222222"/>
        </w:rPr>
        <w:t> </w:t>
      </w:r>
      <w:r w:rsidRPr="00AB3492">
        <w:rPr>
          <w:color w:val="222222"/>
        </w:rPr>
        <w:t>Справка за стойността на инвестициите на УПФ в банкови депозити по банки към</w:t>
      </w:r>
      <w:r w:rsidRPr="00AB3492">
        <w:rPr>
          <w:rStyle w:val="apple-converted-space"/>
          <w:color w:val="222222"/>
        </w:rPr>
        <w:t> </w:t>
      </w:r>
      <w:r w:rsidRPr="00AB3492">
        <w:rPr>
          <w:color w:val="222222"/>
          <w:lang w:val="ru-RU"/>
        </w:rPr>
        <w:t>20</w:t>
      </w:r>
      <w:r w:rsidRPr="00AB3492">
        <w:rPr>
          <w:color w:val="222222"/>
        </w:rPr>
        <w:t>.</w:t>
      </w:r>
      <w:r w:rsidRPr="00AB3492">
        <w:rPr>
          <w:color w:val="222222"/>
          <w:lang w:val="ru-RU"/>
        </w:rPr>
        <w:t>01</w:t>
      </w:r>
      <w:r w:rsidRPr="00AB3492">
        <w:rPr>
          <w:color w:val="222222"/>
        </w:rPr>
        <w:t>.201</w:t>
      </w:r>
      <w:r w:rsidRPr="00AB3492">
        <w:rPr>
          <w:color w:val="222222"/>
          <w:lang w:val="ru-RU"/>
        </w:rPr>
        <w:t>5</w:t>
      </w:r>
      <w:r w:rsidRPr="00AB3492">
        <w:rPr>
          <w:rStyle w:val="apple-converted-space"/>
          <w:color w:val="222222"/>
        </w:rPr>
        <w:t> </w:t>
      </w:r>
      <w:r w:rsidRPr="00AB3492">
        <w:rPr>
          <w:color w:val="222222"/>
        </w:rPr>
        <w:t>г.; </w:t>
      </w:r>
    </w:p>
    <w:p w:rsidR="00E13E37" w:rsidRPr="00AB3492" w:rsidRDefault="00E13E37" w:rsidP="00556D41">
      <w:pPr>
        <w:shd w:val="clear" w:color="auto" w:fill="FFFFFF"/>
        <w:spacing w:line="202" w:lineRule="atLeast"/>
        <w:jc w:val="both"/>
        <w:rPr>
          <w:color w:val="222222"/>
        </w:rPr>
      </w:pPr>
      <w:r w:rsidRPr="00AB3492">
        <w:rPr>
          <w:color w:val="222222"/>
        </w:rPr>
        <w:t>·       </w:t>
      </w:r>
      <w:r w:rsidRPr="00AB3492">
        <w:rPr>
          <w:rStyle w:val="apple-converted-space"/>
          <w:color w:val="222222"/>
        </w:rPr>
        <w:t> </w:t>
      </w:r>
      <w:r w:rsidRPr="00AB3492">
        <w:rPr>
          <w:color w:val="222222"/>
        </w:rPr>
        <w:t>Справка за стойността на инвестициите на УПФ в акции към</w:t>
      </w:r>
      <w:r w:rsidRPr="00AB3492">
        <w:rPr>
          <w:rStyle w:val="apple-converted-space"/>
          <w:color w:val="222222"/>
        </w:rPr>
        <w:t> </w:t>
      </w:r>
      <w:r w:rsidRPr="00AB3492">
        <w:rPr>
          <w:color w:val="222222"/>
          <w:lang w:val="ru-RU"/>
        </w:rPr>
        <w:t>20</w:t>
      </w:r>
      <w:r w:rsidRPr="00AB3492">
        <w:rPr>
          <w:color w:val="222222"/>
        </w:rPr>
        <w:t>.</w:t>
      </w:r>
      <w:r w:rsidRPr="00AB3492">
        <w:rPr>
          <w:color w:val="222222"/>
          <w:lang w:val="ru-RU"/>
        </w:rPr>
        <w:t>01</w:t>
      </w:r>
      <w:r w:rsidRPr="00AB3492">
        <w:rPr>
          <w:color w:val="222222"/>
        </w:rPr>
        <w:t>.201</w:t>
      </w:r>
      <w:r w:rsidRPr="00AB3492">
        <w:rPr>
          <w:color w:val="222222"/>
          <w:lang w:val="ru-RU"/>
        </w:rPr>
        <w:t>5</w:t>
      </w:r>
      <w:r w:rsidRPr="00AB3492">
        <w:rPr>
          <w:rStyle w:val="apple-converted-space"/>
          <w:color w:val="222222"/>
          <w:lang w:val="en-US"/>
        </w:rPr>
        <w:t> </w:t>
      </w:r>
      <w:r w:rsidRPr="00AB3492">
        <w:rPr>
          <w:color w:val="222222"/>
        </w:rPr>
        <w:t>г.;</w:t>
      </w:r>
    </w:p>
    <w:p w:rsidR="00E13E37" w:rsidRPr="00AB3492" w:rsidRDefault="00E13E37" w:rsidP="00556D41">
      <w:pPr>
        <w:shd w:val="clear" w:color="auto" w:fill="FFFFFF"/>
        <w:spacing w:line="202" w:lineRule="atLeast"/>
        <w:jc w:val="both"/>
        <w:rPr>
          <w:color w:val="222222"/>
        </w:rPr>
      </w:pPr>
      <w:r w:rsidRPr="00AB3492">
        <w:rPr>
          <w:color w:val="222222"/>
        </w:rPr>
        <w:t>·       </w:t>
      </w:r>
      <w:r w:rsidRPr="00AB3492">
        <w:rPr>
          <w:rStyle w:val="apple-converted-space"/>
          <w:color w:val="222222"/>
        </w:rPr>
        <w:t> </w:t>
      </w:r>
      <w:r w:rsidRPr="00AB3492">
        <w:rPr>
          <w:color w:val="222222"/>
        </w:rPr>
        <w:t>Справка за разходите за заплати, осигурителни посредници и осигуровки към 3</w:t>
      </w:r>
      <w:r w:rsidRPr="00AB3492">
        <w:rPr>
          <w:color w:val="222222"/>
          <w:lang w:val="ru-RU"/>
        </w:rPr>
        <w:t>1.12.</w:t>
      </w:r>
      <w:r w:rsidRPr="00AB3492">
        <w:rPr>
          <w:color w:val="222222"/>
        </w:rPr>
        <w:t>2014 г.;</w:t>
      </w:r>
    </w:p>
    <w:p w:rsidR="00E13E37" w:rsidRPr="00AB3492" w:rsidRDefault="00E13E37" w:rsidP="00556D41">
      <w:pPr>
        <w:shd w:val="clear" w:color="auto" w:fill="FFFFFF"/>
        <w:spacing w:line="202" w:lineRule="atLeast"/>
        <w:jc w:val="both"/>
        <w:rPr>
          <w:color w:val="222222"/>
        </w:rPr>
      </w:pPr>
      <w:r w:rsidRPr="00AB3492">
        <w:rPr>
          <w:color w:val="222222"/>
        </w:rPr>
        <w:t>·       </w:t>
      </w:r>
      <w:r w:rsidRPr="00AB3492">
        <w:rPr>
          <w:rStyle w:val="apple-converted-space"/>
          <w:color w:val="222222"/>
        </w:rPr>
        <w:t> </w:t>
      </w:r>
      <w:r w:rsidRPr="00AB3492">
        <w:rPr>
          <w:color w:val="222222"/>
        </w:rPr>
        <w:t>Справка за таксите и удръжките (по видове)</w:t>
      </w:r>
      <w:r w:rsidRPr="00AB3492">
        <w:rPr>
          <w:rStyle w:val="apple-converted-space"/>
          <w:color w:val="222222"/>
        </w:rPr>
        <w:t> </w:t>
      </w:r>
      <w:r w:rsidRPr="00AB3492">
        <w:rPr>
          <w:color w:val="222222"/>
        </w:rPr>
        <w:t>от УПФ към 3</w:t>
      </w:r>
      <w:r w:rsidRPr="00AB3492">
        <w:rPr>
          <w:color w:val="222222"/>
          <w:lang w:val="ru-RU"/>
        </w:rPr>
        <w:t>1</w:t>
      </w:r>
      <w:r w:rsidRPr="00AB3492">
        <w:rPr>
          <w:color w:val="222222"/>
        </w:rPr>
        <w:t>.1</w:t>
      </w:r>
      <w:r w:rsidRPr="00AB3492">
        <w:rPr>
          <w:color w:val="222222"/>
          <w:lang w:val="ru-RU"/>
        </w:rPr>
        <w:t>2</w:t>
      </w:r>
      <w:r w:rsidRPr="00AB3492">
        <w:rPr>
          <w:color w:val="222222"/>
        </w:rPr>
        <w:t>.2014 г. на пенсионноосигурителните дружества (ПОД);</w:t>
      </w:r>
    </w:p>
    <w:p w:rsidR="00E13E37" w:rsidRPr="00AB3492" w:rsidRDefault="00E13E37" w:rsidP="00556D41">
      <w:pPr>
        <w:shd w:val="clear" w:color="auto" w:fill="FFFFFF"/>
        <w:spacing w:line="202" w:lineRule="atLeast"/>
        <w:jc w:val="both"/>
        <w:rPr>
          <w:color w:val="222222"/>
        </w:rPr>
      </w:pPr>
      <w:r w:rsidRPr="00AB3492">
        <w:rPr>
          <w:color w:val="222222"/>
        </w:rPr>
        <w:t>·       </w:t>
      </w:r>
      <w:r w:rsidRPr="00AB3492">
        <w:rPr>
          <w:rStyle w:val="apple-converted-space"/>
          <w:color w:val="222222"/>
        </w:rPr>
        <w:t> </w:t>
      </w:r>
      <w:r w:rsidRPr="00AB3492">
        <w:rPr>
          <w:color w:val="222222"/>
        </w:rPr>
        <w:t>Справка за размера (в %) на таксите и удръжките от УПФ на всички ПОД;</w:t>
      </w:r>
    </w:p>
    <w:p w:rsidR="00E13E37" w:rsidRDefault="00E13E37" w:rsidP="00556D41">
      <w:pPr>
        <w:shd w:val="clear" w:color="auto" w:fill="FFFFFF"/>
        <w:spacing w:line="202" w:lineRule="atLeast"/>
        <w:jc w:val="both"/>
        <w:rPr>
          <w:color w:val="222222"/>
        </w:rPr>
      </w:pPr>
      <w:r w:rsidRPr="00AB3492">
        <w:rPr>
          <w:color w:val="222222"/>
        </w:rPr>
        <w:t>·       </w:t>
      </w:r>
      <w:r w:rsidRPr="00AB3492">
        <w:rPr>
          <w:rStyle w:val="apple-converted-space"/>
          <w:color w:val="222222"/>
        </w:rPr>
        <w:t> </w:t>
      </w:r>
      <w:r w:rsidRPr="00AB3492">
        <w:rPr>
          <w:color w:val="222222"/>
        </w:rPr>
        <w:t>Справка за доходността на фондовете за допълнително пенсионно осигуряване за периода 28.12.2012 г. – 30.12.2014 г. на годишна база. </w:t>
      </w:r>
    </w:p>
    <w:p w:rsidR="00E13E37" w:rsidRDefault="00E13E37" w:rsidP="00CA7033">
      <w:pPr>
        <w:shd w:val="clear" w:color="auto" w:fill="FFFFFF"/>
        <w:spacing w:line="202" w:lineRule="atLeast"/>
        <w:jc w:val="both"/>
      </w:pPr>
      <w:r>
        <w:t xml:space="preserve">. </w:t>
      </w:r>
      <w:r>
        <w:tab/>
        <w:t xml:space="preserve">Справка за стойността на инвестициите на УПФ в дългови финансови инструменти към </w:t>
      </w:r>
      <w:r w:rsidRPr="00AB3492">
        <w:rPr>
          <w:lang w:val="ru-RU"/>
        </w:rPr>
        <w:t>20</w:t>
      </w:r>
      <w:r>
        <w:t>.</w:t>
      </w:r>
      <w:r w:rsidRPr="00AB3492">
        <w:rPr>
          <w:lang w:val="ru-RU"/>
        </w:rPr>
        <w:t>01</w:t>
      </w:r>
      <w:r>
        <w:t>.201</w:t>
      </w:r>
      <w:r w:rsidRPr="00AB3492">
        <w:rPr>
          <w:lang w:val="ru-RU"/>
        </w:rPr>
        <w:t>5</w:t>
      </w:r>
      <w:r>
        <w:t xml:space="preserve"> г.;  </w:t>
      </w:r>
    </w:p>
    <w:p w:rsidR="00E13E37" w:rsidRDefault="00E13E37" w:rsidP="00CA7033">
      <w:pPr>
        <w:widowControl w:val="0"/>
        <w:autoSpaceDE w:val="0"/>
        <w:autoSpaceDN w:val="0"/>
        <w:adjustRightInd w:val="0"/>
        <w:spacing w:line="252" w:lineRule="auto"/>
        <w:jc w:val="both"/>
      </w:pPr>
      <w:r>
        <w:t xml:space="preserve">. </w:t>
      </w:r>
      <w:r>
        <w:tab/>
        <w:t xml:space="preserve">Справка за стойността на инвестициите на УПФ в дялове или акции на колективни инвестиционни схеми към </w:t>
      </w:r>
      <w:r w:rsidRPr="00AB3492">
        <w:rPr>
          <w:lang w:val="ru-RU"/>
        </w:rPr>
        <w:t>20</w:t>
      </w:r>
      <w:r>
        <w:t>.</w:t>
      </w:r>
      <w:r w:rsidRPr="00AB3492">
        <w:rPr>
          <w:lang w:val="ru-RU"/>
        </w:rPr>
        <w:t>01</w:t>
      </w:r>
      <w:r>
        <w:t>.201</w:t>
      </w:r>
      <w:r w:rsidRPr="00AB3492">
        <w:rPr>
          <w:lang w:val="ru-RU"/>
        </w:rPr>
        <w:t>5</w:t>
      </w:r>
      <w:r>
        <w:t xml:space="preserve"> г.</w:t>
      </w:r>
    </w:p>
    <w:p w:rsidR="00E13E37" w:rsidRPr="00AB3492" w:rsidRDefault="00E13E37" w:rsidP="00556D41">
      <w:pPr>
        <w:shd w:val="clear" w:color="auto" w:fill="FFFFFF"/>
        <w:tabs>
          <w:tab w:val="num" w:pos="540"/>
        </w:tabs>
        <w:spacing w:line="202" w:lineRule="atLeast"/>
        <w:ind w:left="23" w:hanging="23"/>
        <w:jc w:val="both"/>
        <w:rPr>
          <w:color w:val="222222"/>
        </w:rPr>
      </w:pPr>
    </w:p>
    <w:p w:rsidR="00E13E37" w:rsidRDefault="00E13E37" w:rsidP="00CB23DA">
      <w:pPr>
        <w:autoSpaceDE w:val="0"/>
        <w:autoSpaceDN w:val="0"/>
        <w:adjustRightInd w:val="0"/>
        <w:ind w:firstLine="708"/>
        <w:jc w:val="both"/>
      </w:pPr>
    </w:p>
    <w:p w:rsidR="00E13E37" w:rsidRPr="006A2F78" w:rsidRDefault="00E13E37" w:rsidP="00B07A91">
      <w:pPr>
        <w:pStyle w:val="Heading2"/>
        <w:numPr>
          <w:ilvl w:val="0"/>
          <w:numId w:val="12"/>
        </w:numPr>
      </w:pPr>
      <w:r w:rsidRPr="006A2F78">
        <w:t>Съгласно Закона за КФН от 2010 г. пенсионните дружества трябваше да представят пред КФН информация за всички лица до действителен собственик, които притежават пряко или непряко 5 и над 5 % от гласовете в общото събрание или от капитала на съответното дружество. Как приключи тази проверка за КФН и изследвани ли са реалните собственици, които стоят зад множеството офшорни дружества, които притежават акционери с 5 и над 5 % в някои български пенсионни дружества? Има ли данни за нарушения на чл. 121б, ал. 2 от Кодекса за социално осигуряване, според който един акционер може да притежава акции само в едно пенсионно дружество, което осъществява дейност в България?</w:t>
      </w:r>
      <w:r w:rsidRPr="006A2F78">
        <w:br/>
      </w:r>
    </w:p>
    <w:p w:rsidR="00E13E37" w:rsidRPr="006A2F78" w:rsidRDefault="00E13E37" w:rsidP="008D5BA5">
      <w:pPr>
        <w:pStyle w:val="LYA"/>
        <w:numPr>
          <w:ilvl w:val="0"/>
          <w:numId w:val="1"/>
        </w:numPr>
        <w:ind w:left="0" w:firstLine="851"/>
      </w:pPr>
      <w:r w:rsidRPr="006A2F78">
        <w:t xml:space="preserve">С §27 - 29 от преходните и заключителните разпоредби на Закона за изменение и допълнение на Закона за Комисията за финансов надзор (ЗИД на ЗКФН), обн. ДВ, бр.43 от 8 юни 2010 г., е въведено изискване  да бъдат идентифицирани действителните собственици на поднадзорните на Комисията лица, които притежават пряко или непряко 5% и над 5% от капитала им. В рамките на предвидената еднократна процедура всяко поднадзорно на комисията лице беше задължено да представи два документа - „списък на лицата до действителен собственик, които притежават пряко или непряко 5 и над 5 на сто от правата на глас в общото събрание или от капитала на съответното дружество”, към който се прилага „декларация, която съдържа изчерпателни данни за действителните собственици на съответното поднадзорно лице”. </w:t>
      </w:r>
    </w:p>
    <w:p w:rsidR="00E13E37" w:rsidRPr="006A2F78" w:rsidRDefault="00E13E37" w:rsidP="00654EB7">
      <w:pPr>
        <w:pStyle w:val="LYA"/>
      </w:pPr>
    </w:p>
    <w:p w:rsidR="00E13E37" w:rsidRPr="006A2F78" w:rsidRDefault="00E13E37" w:rsidP="00654EB7">
      <w:pPr>
        <w:pStyle w:val="LYA"/>
      </w:pPr>
    </w:p>
    <w:p w:rsidR="00E13E37" w:rsidRPr="006A2F78" w:rsidRDefault="00E13E37" w:rsidP="008D5BA5">
      <w:pPr>
        <w:pStyle w:val="LYA"/>
        <w:rPr>
          <w:b/>
          <w:bCs/>
        </w:rPr>
      </w:pPr>
      <w:r w:rsidRPr="006A2F78">
        <w:rPr>
          <w:b/>
          <w:bCs/>
        </w:rPr>
        <w:t xml:space="preserve">Действителните собственици на пенсионноосигурителните дружества бяха декларирани съобразно законовите изисквания, беше изготвен списък-таблица, който беше публикуван на Интернет страницата на КФН с цел оповестяване на информацията </w:t>
      </w:r>
      <w:hyperlink r:id="rId9" w:history="1">
        <w:r w:rsidRPr="006A2F78">
          <w:rPr>
            <w:rStyle w:val="Hyperlink"/>
          </w:rPr>
          <w:t>http://www.fsc.bg/Deystvitelni-sobstvenici-po-29-bg-725</w:t>
        </w:r>
      </w:hyperlink>
      <w:r w:rsidRPr="006A2F78">
        <w:rPr>
          <w:b/>
          <w:bCs/>
        </w:rPr>
        <w:t xml:space="preserve">. </w:t>
      </w:r>
      <w:r>
        <w:rPr>
          <w:b/>
          <w:bCs/>
        </w:rPr>
        <w:t xml:space="preserve"> В таблицата са разкрити действителните собственици до физическо лице – краен бенефициент.</w:t>
      </w:r>
    </w:p>
    <w:p w:rsidR="00E13E37" w:rsidRPr="006A2F78" w:rsidRDefault="00E13E37" w:rsidP="008D5BA5">
      <w:pPr>
        <w:pStyle w:val="LYA"/>
        <w:rPr>
          <w:b/>
          <w:bCs/>
        </w:rPr>
      </w:pPr>
      <w:r w:rsidRPr="006A2F78">
        <w:rPr>
          <w:b/>
          <w:bCs/>
        </w:rPr>
        <w:t xml:space="preserve">Реалните собственици на компании, притежаващи към съответния момент участие в пенсионноосигурително дружество, също бяха декларирани в представените в хода на описаната процедура декларации от задължените за това лица, съгласно законовото изискване. </w:t>
      </w:r>
    </w:p>
    <w:p w:rsidR="00E13E37" w:rsidRPr="006A2F78" w:rsidRDefault="00E13E37" w:rsidP="008D5BA5">
      <w:pPr>
        <w:pStyle w:val="LYA"/>
        <w:rPr>
          <w:b/>
          <w:bCs/>
        </w:rPr>
      </w:pPr>
    </w:p>
    <w:p w:rsidR="00E13E37" w:rsidRPr="006A2F78" w:rsidRDefault="00E13E37" w:rsidP="008D5BA5">
      <w:pPr>
        <w:pStyle w:val="LYA"/>
        <w:numPr>
          <w:ilvl w:val="0"/>
          <w:numId w:val="6"/>
        </w:numPr>
        <w:ind w:left="0" w:firstLine="851"/>
      </w:pPr>
      <w:r w:rsidRPr="006A2F78">
        <w:t xml:space="preserve">При осъществявания от КФН надзор не са констатирани нарушения на изискването на чл.121б, ал.2 от КСО. Посоченият текст предвижда, че акционерите на пенсионноосигурителните дружества могат да притежават акции само в едно пенсионноосигурително дружество, осъществяващо дейност в страната. Разпоредбата не въвежда същото ограничение за свързаните с акционерите лица, което означава, че забраната касае единствено прякото притежаване на акции в две пенсионноосигурителни дружества. Към момента няма физически или юридически лица, които притежават пряко акции на две (или повече) пенсионноосигурителни дружества в България. </w:t>
      </w:r>
    </w:p>
    <w:p w:rsidR="00E13E37" w:rsidRPr="006A2F78" w:rsidRDefault="00E13E37" w:rsidP="00E11D0A">
      <w:pPr>
        <w:pStyle w:val="Heading2"/>
        <w:numPr>
          <w:ilvl w:val="0"/>
          <w:numId w:val="12"/>
        </w:numPr>
      </w:pPr>
      <w:r w:rsidRPr="006A2F78">
        <w:t>Вярно ли е, че в новолицензираното пенсионно дружество "Утре" АД (юли 2014 г.) са постъпили на ръководни позиции няколко бивши служители на КФН и това не е ли нарушение на Закона за предовратяване и разкриване на конфликт на интереси, който им забранява в продължение на една година от освобождаването им от длъжност в КФН да сключват трудови или други договори за изпълнение на ръководни или контролни функции с дружества, спрямо които в последната година са осъществявали надзорни действия.</w:t>
      </w:r>
    </w:p>
    <w:p w:rsidR="00E13E37" w:rsidRPr="006A2F78" w:rsidRDefault="00E13E37" w:rsidP="00CB23DA">
      <w:pPr>
        <w:ind w:firstLine="708"/>
        <w:jc w:val="both"/>
        <w:rPr>
          <w:rStyle w:val="Strong"/>
          <w:b w:val="0"/>
          <w:bCs w:val="0"/>
        </w:rPr>
      </w:pPr>
    </w:p>
    <w:p w:rsidR="00E13E37" w:rsidRPr="006A2F78" w:rsidRDefault="00E13E37" w:rsidP="00CB23DA">
      <w:pPr>
        <w:ind w:firstLine="708"/>
        <w:jc w:val="both"/>
        <w:rPr>
          <w:rStyle w:val="Strong"/>
          <w:b w:val="0"/>
          <w:bCs w:val="0"/>
          <w:color w:val="0000FF"/>
        </w:rPr>
      </w:pPr>
      <w:r w:rsidRPr="006A2F78">
        <w:rPr>
          <w:rStyle w:val="Strong"/>
          <w:b w:val="0"/>
          <w:bCs w:val="0"/>
        </w:rPr>
        <w:t xml:space="preserve">Към настоящия момент дружеството все още не е започнало да осъществява дейност и в случай че бъдат установени данни за наличие на конфликт на интереси КФН ще се възползва от предвидената в ЗПУКИ възможност за уведомяване на компетентния орган - Комисията за предотвратяване и установяване на конфликт на интереси (КПУКИ). </w:t>
      </w:r>
    </w:p>
    <w:p w:rsidR="00E13E37" w:rsidRPr="006A2F78" w:rsidRDefault="00E13E37">
      <w:r w:rsidRPr="006A2F78">
        <w:br w:type="page"/>
      </w:r>
    </w:p>
    <w:p w:rsidR="00E13E37" w:rsidRPr="006A2F78" w:rsidRDefault="00E13E37" w:rsidP="00E827A5">
      <w:pPr>
        <w:pStyle w:val="Heading1"/>
        <w:numPr>
          <w:ilvl w:val="0"/>
          <w:numId w:val="20"/>
        </w:numPr>
        <w:rPr>
          <w:rFonts w:cs="Times New Roman"/>
        </w:rPr>
      </w:pPr>
      <w:r w:rsidRPr="006A2F78">
        <w:rPr>
          <w:rStyle w:val="Strong"/>
          <w:b/>
          <w:bCs/>
        </w:rPr>
        <w:t>Във връзка с наложените от КФН на вестник "Капитал" наказателни постановления, които практически отричат правото на журналистите да разследват незаконни практики във финансовата система и съответно отричат правото на обществото да бъде информирано за наличието на такива, особено в случаите, в които съответните органи са пасивни, бихме били благодарни, ако народните представители отправят и следните въпроси към КФН:</w:t>
      </w:r>
      <w:r w:rsidRPr="006A2F78">
        <w:rPr>
          <w:rFonts w:cs="Times New Roman"/>
        </w:rPr>
        <w:br/>
        <w:t> </w:t>
      </w:r>
    </w:p>
    <w:p w:rsidR="00E13E37" w:rsidRPr="006A2F78" w:rsidRDefault="00E13E37" w:rsidP="00E5788F">
      <w:pPr>
        <w:pStyle w:val="Heading2"/>
        <w:numPr>
          <w:ilvl w:val="0"/>
          <w:numId w:val="10"/>
        </w:numPr>
      </w:pPr>
      <w:r w:rsidRPr="006A2F78">
        <w:t>Ако български журналист изнесе информация по повдигнатите по-горе проблеми и докаже или изложи основателни данни са съмнения за нарушения от пазарните участници на законодателството във финансовия сектор, тогава, по мнението на комисията, приложими ли ще са спрямо медията разпоредбите от Закона срещу пазарните злоупотреби с финансови инструменти и какви следва да бъдат действията на КФН?</w:t>
      </w:r>
    </w:p>
    <w:p w:rsidR="00E13E37" w:rsidRPr="006A2F78" w:rsidRDefault="00E13E37" w:rsidP="00527E20">
      <w:pPr>
        <w:pStyle w:val="ListParagraph"/>
        <w:ind w:left="0"/>
        <w:jc w:val="both"/>
      </w:pPr>
    </w:p>
    <w:p w:rsidR="00E13E37" w:rsidRPr="006A2F78" w:rsidRDefault="00E13E37" w:rsidP="00DA740A">
      <w:pPr>
        <w:ind w:firstLine="709"/>
        <w:jc w:val="both"/>
        <w:rPr>
          <w:rStyle w:val="Strong"/>
          <w:b w:val="0"/>
          <w:bCs w:val="0"/>
        </w:rPr>
      </w:pPr>
      <w:r w:rsidRPr="006A2F78">
        <w:t>В своята дейност Комисията за финансов надзор по никакъв начин не възпрепятства</w:t>
      </w:r>
      <w:r w:rsidRPr="006A2F78">
        <w:rPr>
          <w:b/>
          <w:bCs/>
        </w:rPr>
        <w:t xml:space="preserve"> </w:t>
      </w:r>
      <w:r w:rsidRPr="006A2F78">
        <w:rPr>
          <w:rStyle w:val="Strong"/>
          <w:b w:val="0"/>
          <w:bCs w:val="0"/>
        </w:rPr>
        <w:t>правото на журналистите да разследват незаконни практики във финансовата система, а напротив даже призовава за такива действия. Професионалните и достоверни медийни публикации, които са продукт на журналистически разследвания спомагат за постигането на целите на комисията, възложени й със Закона срещу пазарните злоупотреби с финансови инструменти, за предотвратяване и разкриване на пазарните злоупотреби и осигуряването на своевременното и пълно разкриване на информация на инвеститорите, чрез което да се повиши общественото доверие и да се създадат условия за развитието на справедлив, прозрачен и ефективен пазар на финансови инструменти. В тази връзка ако журналист изнесе информация за нарушение на нормативната уредба регулираща пазара на финансови инструменти допуснати до търговия на регулиран пазар, то ще бъде извършена проверка за същите. От друга страна тъй като инвеститорите вземат своите инвестиционни решения въз основа и на публично достъпната информация, част от която са медийните публикации, то ако в хода на проверката се докаже, че изнесената информация в съответната публикация е невярна и в същото време е създала или би могла да създаде невярна или подвеждаща представа за финансови инструменти и преди публикуването на самата статия е можело достоверността на изнесената в нея информация да бъде проверено,</w:t>
      </w:r>
      <w:r w:rsidRPr="006A2F78">
        <w:rPr>
          <w:b/>
          <w:bCs/>
        </w:rPr>
        <w:t> </w:t>
      </w:r>
      <w:r w:rsidRPr="006A2F78">
        <w:rPr>
          <w:rStyle w:val="Strong"/>
          <w:b w:val="0"/>
          <w:bCs w:val="0"/>
        </w:rPr>
        <w:t xml:space="preserve"> но това не е направено, то лицето разпространило невярната информация, с което е извършило нарушение на Закона срещу пазарните злоупотреби с финансови инструменти</w:t>
      </w:r>
      <w:r w:rsidRPr="006A2F78">
        <w:rPr>
          <w:b/>
          <w:bCs/>
        </w:rPr>
        <w:t> </w:t>
      </w:r>
      <w:r w:rsidRPr="006A2F78">
        <w:rPr>
          <w:rStyle w:val="Strong"/>
          <w:b w:val="0"/>
          <w:bCs w:val="0"/>
        </w:rPr>
        <w:t>ще бъде санкционирано.</w:t>
      </w:r>
    </w:p>
    <w:p w:rsidR="00E13E37" w:rsidRPr="006A2F78" w:rsidRDefault="00E13E37" w:rsidP="00DA740A">
      <w:pPr>
        <w:jc w:val="both"/>
        <w:rPr>
          <w:rStyle w:val="Strong"/>
          <w:b w:val="0"/>
          <w:bCs w:val="0"/>
        </w:rPr>
      </w:pPr>
    </w:p>
    <w:p w:rsidR="00E13E37" w:rsidRPr="006A2F78" w:rsidRDefault="00E13E37" w:rsidP="00E5788F">
      <w:pPr>
        <w:pStyle w:val="Heading2"/>
        <w:numPr>
          <w:ilvl w:val="0"/>
          <w:numId w:val="10"/>
        </w:numPr>
      </w:pPr>
      <w:r w:rsidRPr="006A2F78">
        <w:t>Изпълнила ли е КФН своето законово задължение да огласи публично следваната надзорна политика и създадената практика по прилагане на нормативните актове, както и мотивите за тяхната промяна, за което е задължена съгласно чл. 9 от Закона за КФН с цел осигуряване на основния принцип за прозрачност и предвидимост в работата на държавните институции. В случая питаме в контекста на прилаганите спрямо медии санкции "за пазарни манипулации", още повече, че самият Закон срещу пазарните злоупотреби с финансови инструменти задължава КФН да публикува в официалния си бюлетин и по друг подходящ начин признатите пазарни практики.</w:t>
      </w:r>
    </w:p>
    <w:p w:rsidR="00E13E37" w:rsidRPr="006A2F78" w:rsidRDefault="00E13E37" w:rsidP="00DA740A">
      <w:pPr>
        <w:ind w:firstLine="709"/>
        <w:jc w:val="both"/>
      </w:pPr>
    </w:p>
    <w:p w:rsidR="00E13E37" w:rsidRPr="006A2F78" w:rsidRDefault="00E13E37" w:rsidP="00DA740A">
      <w:pPr>
        <w:ind w:firstLine="709"/>
        <w:jc w:val="both"/>
      </w:pPr>
      <w:r w:rsidRPr="006A2F78">
        <w:t xml:space="preserve">Да, Комисията за финансов надзор е огласила публично насоките, които следва в надзорната си практика за предотвратяване и разкриване на пазарни злоупотреби и за повишаване на общественото доверие в пазара на финансови инструменти. </w:t>
      </w:r>
    </w:p>
    <w:p w:rsidR="00E13E37" w:rsidRPr="006A2F78" w:rsidRDefault="00E13E37" w:rsidP="00DA740A">
      <w:pPr>
        <w:ind w:firstLine="709"/>
        <w:jc w:val="both"/>
      </w:pPr>
      <w:r w:rsidRPr="006A2F78">
        <w:t>Със свое решение от </w:t>
      </w:r>
      <w:r w:rsidRPr="006A2F78">
        <w:rPr>
          <w:color w:val="000000"/>
        </w:rPr>
        <w:t> 4</w:t>
      </w:r>
      <w:r w:rsidRPr="006A2F78">
        <w:rPr>
          <w:color w:val="0000FF"/>
        </w:rPr>
        <w:t> </w:t>
      </w:r>
      <w:r w:rsidRPr="006A2F78">
        <w:t xml:space="preserve"> октомври 2012 г. Комисията за финансов надзор е одобрила три отделни документи под формата на насоки и информация относно прилагането на законодателството срещу пазарните злоупотреби с финансови инструменти – Първи, Втори и Трети Насоки на Комитета на европейските регулатори на ценни книжа (CESR) относно общото приложение на Директива 2003/6/ЕО относно търговията с вътрешна информация и манипулирането на пазара (пазарна злоупотреба). Комисията е приела да прилага тези насоки при осъществяване на надзора по спазването на разпоредбите на Закона срещу пазарните злоупотреби с финансови инструменти. Това решение на Комисията за финансов надзор е оповестено публично на 5 октомври 2012  г. и пълното съдържание на насоките е обявено на интернет страницата на комисията. </w:t>
      </w:r>
    </w:p>
    <w:p w:rsidR="00E13E37" w:rsidRPr="006A2F78" w:rsidRDefault="00E13E37" w:rsidP="00E5788F">
      <w:pPr>
        <w:ind w:firstLine="709"/>
        <w:jc w:val="both"/>
      </w:pPr>
      <w:r w:rsidRPr="006A2F78">
        <w:t>По този начин Комисията за финансов надзор гарантира спазването на принципите на прозрачност, последователност и предвидимост при упражняване на надзорните си правомощия за предотвратяване и разкриване на пазарни злоупотреби с финансови инструменти.</w:t>
      </w:r>
    </w:p>
    <w:p w:rsidR="00E13E37" w:rsidRPr="006A2F78" w:rsidRDefault="00E13E37">
      <w:r w:rsidRPr="006A2F78">
        <w:br w:type="page"/>
      </w:r>
    </w:p>
    <w:p w:rsidR="00E13E37" w:rsidRPr="006A2F78" w:rsidRDefault="00E13E37" w:rsidP="00E5788F">
      <w:pPr>
        <w:pStyle w:val="Heading2"/>
        <w:numPr>
          <w:ilvl w:val="0"/>
          <w:numId w:val="10"/>
        </w:numPr>
      </w:pPr>
      <w:r w:rsidRPr="006A2F78">
        <w:t>Наясно ли е ръководството на комисията, че в случаите на разгласяване на информация от журналисти при изпълнение на професионалните им задължения, според чл.1, § 2, буква "в" от Директива 2003/6/ЕО относно търговията с вътрешна информация и манипулирането на пазара (пазарна злоупотреба) трябва да се извършва преценка с оглед правилата, приложими за тяхната професия, което означава чл.10 от Европейската конвенция за правата на човека и чл.11 от Хартата на основните права на ЕС.</w:t>
      </w:r>
    </w:p>
    <w:p w:rsidR="00E13E37" w:rsidRPr="006A2F78" w:rsidRDefault="00E13E37" w:rsidP="00DA740A">
      <w:pPr>
        <w:ind w:firstLine="709"/>
        <w:jc w:val="both"/>
      </w:pPr>
    </w:p>
    <w:p w:rsidR="00E13E37" w:rsidRPr="006A2F78" w:rsidRDefault="00E13E37" w:rsidP="00DA740A">
      <w:pPr>
        <w:ind w:firstLine="709"/>
        <w:jc w:val="both"/>
      </w:pPr>
      <w:r w:rsidRPr="006A2F78">
        <w:t>Разпоредбите на Закона за пазарните злоупотреби с финансови инструменти  /ЗПЗФИ/ не засягат, нито ограничават, предвиденото в чл. 10 от Конвенцията, съответно в чл. 11 от Хартата, право на свобода на изразяване на мнение, на получаване и разпространяване на информация. Въпреки, че съгласно чл. 11 от Хартата това право включва всеки да отстоява мнение си, да получава и да разпространява информация и идеи без намеса на публичните власти, независимо от границите, в Конвенцията е предвидено, че упражняването на тези свободи, доколкото е съпроводено със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w:t>
      </w:r>
    </w:p>
    <w:p w:rsidR="00E13E37" w:rsidRPr="006A2F78" w:rsidRDefault="00E13E37" w:rsidP="00DA740A">
      <w:pPr>
        <w:ind w:firstLine="709"/>
        <w:jc w:val="both"/>
      </w:pPr>
      <w:r w:rsidRPr="006A2F78">
        <w:t>Манипулациите на пазара на финансови инструменти са нарушения с висока степен на обществена опасност, които засягат, защитаваните с нормите на ЗПЗФИ обществени отношения, тъй като въздействат по отрицателен начин върху обичайните условия, при които инвеститорите вземат своите инвестиционни решения дали да закупят или да продадат даден финансов инструмент, респективно условията, при които се сключват сделки с финансови инструменти на организирания от „Българска фондова борса – София” АД регулиран пазар.</w:t>
      </w:r>
    </w:p>
    <w:p w:rsidR="00E13E37" w:rsidRPr="006A2F78" w:rsidRDefault="00E13E37" w:rsidP="00DA740A">
      <w:pPr>
        <w:ind w:firstLine="709"/>
        <w:jc w:val="both"/>
      </w:pPr>
      <w:r w:rsidRPr="006A2F78">
        <w:t xml:space="preserve">Установяването на законова забрана да бъдат извършвани пазарни злоупотреби с финансови инструменти (сред които пазарни манипулации) е подчинено на идеята за предотвратяване и разкриване на такъв вид нарушения. Последното е необходимо условие за повишаване на общественото доверие в пазара на финансови инструменти и за създаване на условия за развитието на справедлив, прозрачен и ефективен пазар на финансови инструменти. </w:t>
      </w:r>
    </w:p>
    <w:p w:rsidR="00E13E37" w:rsidRPr="006A2F78" w:rsidRDefault="00E13E37" w:rsidP="00DA740A">
      <w:pPr>
        <w:ind w:firstLine="709"/>
        <w:jc w:val="both"/>
      </w:pPr>
      <w:r w:rsidRPr="006A2F78">
        <w:t>В този смисъл ЗПЗФИ представлява защита на правата на инвеститорите за получаване на достоверна информация и ограничава правото на свобода на изразяване на мнение и разпространяване на информация по чл. 10 от Конвенцията, с оглед гарантиране правото на получаване на проверена и вярна информация, което е необходимо в едно демократично общество за охраняване на обществените отношения и интереси предмет на защита от ЗПЗФИ.</w:t>
      </w:r>
    </w:p>
    <w:p w:rsidR="00E13E37" w:rsidRDefault="00E13E37" w:rsidP="00DA740A">
      <w:pPr>
        <w:ind w:firstLine="709"/>
      </w:pPr>
      <w:r w:rsidRPr="006A2F78">
        <w:t>Тоест, не може да бъде прието, че правото на разпространяване на информация е неограничено и когато се налага установяване на извършени закононарушения, е оправдано към журналисти и медии да бъдат отправяни запитвания и да бъде искана информация.</w:t>
      </w:r>
    </w:p>
    <w:p w:rsidR="00E13E37" w:rsidRPr="006A2F78" w:rsidRDefault="00E13E37" w:rsidP="00372255">
      <w:pPr>
        <w:ind w:firstLine="708"/>
        <w:jc w:val="both"/>
      </w:pPr>
      <w:r w:rsidRPr="006A2F78">
        <w:t xml:space="preserve">След 12.06.2014 г. в КФН са постъпили над 200 сигнала за евентуални нарушения. Част от сигналите се отнасят за нарушение на Закона за кредитните институции и те са изпратени по компетентност на Българска Народна Банка и Държавна агенция „Национална сигурност”. В други са изказани съмнения за разпространяване на невярна информация за „Първа Инвестиционна Банка” АД и „Корпоративна Търговска Банка” АД, по които започнаха проверки. Отделно от получените сигнали във връзка с осъществявания текущ надзор КФН е инициирала проверки за публикации отразяващи ценово чувствителна информация за емитенти финансови институции, за която са възникнали съмнения, че е невярна или подвеждаща. </w:t>
      </w:r>
    </w:p>
    <w:p w:rsidR="00E13E37" w:rsidRPr="006A2F78" w:rsidRDefault="00E13E37" w:rsidP="00372255">
      <w:pPr>
        <w:ind w:firstLine="708"/>
        <w:jc w:val="both"/>
        <w:rPr>
          <w:b/>
          <w:bCs/>
        </w:rPr>
      </w:pPr>
      <w:r w:rsidRPr="006A2F78">
        <w:rPr>
          <w:b/>
          <w:bCs/>
        </w:rPr>
        <w:t>Към момента са съставени шест акта за установяване на административно нарушение за манипулиране на пазара на финансови инструменти, като по четири от тях са издадени наказателни постановления, а по останалите две предстои произнасяне</w:t>
      </w:r>
      <w:r>
        <w:rPr>
          <w:b/>
          <w:bCs/>
        </w:rPr>
        <w:t>то на административнонаказващия</w:t>
      </w:r>
      <w:r w:rsidRPr="006A2F78">
        <w:rPr>
          <w:b/>
          <w:bCs/>
        </w:rPr>
        <w:t xml:space="preserve"> орган. Част от извършваните проверки във връзка с получените сигнали, към момента не са приключили. Ако в хода им се установи нарушение на нормативната уредба регламентираща търговията с ценни книжа допуснати до търговия на регулиран пазар на нарушителите ще бъде ангажирана административнонаказателната им отговорност.</w:t>
      </w:r>
    </w:p>
    <w:p w:rsidR="00E13E37" w:rsidRPr="008555CA" w:rsidRDefault="00E13E37" w:rsidP="00372255">
      <w:pPr>
        <w:rPr>
          <w:b/>
          <w:bCs/>
          <w:lang w:val="ru-RU"/>
        </w:rPr>
      </w:pPr>
    </w:p>
    <w:p w:rsidR="00E13E37" w:rsidRPr="0065431B" w:rsidRDefault="00E13E37" w:rsidP="00372255">
      <w:pPr>
        <w:ind w:firstLine="708"/>
        <w:jc w:val="both"/>
      </w:pPr>
      <w:r w:rsidRPr="000667D1">
        <w:t xml:space="preserve">Конкретно за нарушенията на чл. 11 във връзка с чл. 6, ал. 1, т.3 от ЗПЗФИ, КФН направи </w:t>
      </w:r>
      <w:r>
        <w:t xml:space="preserve">няколко </w:t>
      </w:r>
      <w:r w:rsidRPr="000667D1">
        <w:t>проуч</w:t>
      </w:r>
      <w:r>
        <w:t>вания,</w:t>
      </w:r>
      <w:r w:rsidRPr="000667D1">
        <w:t xml:space="preserve"> както по отношение на размера на санкциите, които се налагат така и по отношение на надзорните практики на останалите национални надзорни органи. Извода е, че практиката на КФН не се различава съществено от тази на останалите надзори. През последните години за нарушаване на </w:t>
      </w:r>
      <w:r>
        <w:t xml:space="preserve">чл. 1, параграф 2, </w:t>
      </w:r>
      <w:r w:rsidRPr="0065431B">
        <w:t xml:space="preserve">буква „в” от Директивата за пазарната злоупотреба, санкции на стойност стотици хиляди евро са налагани от надзорните органи на Франция, Германия, Гърция, Австрия, Унгария, Полша и други </w:t>
      </w:r>
      <w:r w:rsidRPr="0065431B">
        <w:rPr>
          <w:lang w:val="ru-RU"/>
        </w:rPr>
        <w:t xml:space="preserve"> </w:t>
      </w:r>
      <w:r w:rsidRPr="0065431B">
        <w:rPr>
          <w:i/>
          <w:iCs/>
        </w:rPr>
        <w:t>(приложена е детайлна справка).</w:t>
      </w:r>
    </w:p>
    <w:p w:rsidR="00E13E37" w:rsidRDefault="00E13E37" w:rsidP="00372255">
      <w:pPr>
        <w:ind w:firstLine="708"/>
        <w:jc w:val="both"/>
      </w:pPr>
      <w:r w:rsidRPr="0065431B">
        <w:t>По-голямата част от информацията за наложените от останалите надзорни европейски надзорни органи санкции е публична и може да се намери на сайтовете на съответните институции.</w:t>
      </w:r>
    </w:p>
    <w:p w:rsidR="00E13E37" w:rsidRDefault="00E13E37" w:rsidP="00372255">
      <w:pPr>
        <w:ind w:firstLine="708"/>
        <w:jc w:val="both"/>
      </w:pPr>
    </w:p>
    <w:p w:rsidR="00E13E37" w:rsidRPr="002C5343" w:rsidRDefault="00E13E37" w:rsidP="00975C5E">
      <w:pPr>
        <w:jc w:val="both"/>
        <w:rPr>
          <w:lang w:val="ru-RU"/>
        </w:rPr>
      </w:pPr>
      <w:r>
        <w:rPr>
          <w:lang w:val="ru-RU"/>
        </w:rPr>
        <w:tab/>
      </w:r>
      <w:r w:rsidRPr="002C5343">
        <w:rPr>
          <w:lang w:val="ru-RU"/>
        </w:rPr>
        <w:t>Наложените санкции на медии/журналисти за разпространение на невярна информация не са единствени, в които са санкционирани журналисти или е наложена глоба за разпространение на невярна информация. Пример от практиката на КФН е наложената глоба за публикуване на невярна информация от участник в интернет форум, както и наложената глоба на журналист за търговия с финансови инструменти.</w:t>
      </w:r>
    </w:p>
    <w:p w:rsidR="00E13E37" w:rsidRDefault="00E13E37" w:rsidP="00975C5E">
      <w:pPr>
        <w:ind w:firstLine="708"/>
        <w:jc w:val="both"/>
      </w:pPr>
    </w:p>
    <w:p w:rsidR="00E13E37" w:rsidRDefault="00E13E37" w:rsidP="00975C5E">
      <w:pPr>
        <w:ind w:firstLine="708"/>
        <w:jc w:val="both"/>
        <w:rPr>
          <w:b/>
          <w:bCs/>
        </w:rPr>
      </w:pPr>
      <w:r>
        <w:t xml:space="preserve">Практиката на КФН за санкциониране на пазарни манипулации чрез разпространение на невярна информация за публични дружества, датира от </w:t>
      </w:r>
      <w:r w:rsidRPr="002C5343">
        <w:t>2006 г.</w:t>
      </w:r>
      <w:r>
        <w:t>, когато</w:t>
      </w:r>
      <w:r w:rsidRPr="002C5343">
        <w:t xml:space="preserve"> е публикувана невярна информация от </w:t>
      </w:r>
      <w:r>
        <w:t xml:space="preserve">Йордан Кокенов - </w:t>
      </w:r>
      <w:r w:rsidRPr="002C5343">
        <w:t>участник във форума на</w:t>
      </w:r>
      <w:r>
        <w:t xml:space="preserve"> интернет страницата на </w:t>
      </w:r>
      <w:r>
        <w:rPr>
          <w:lang w:val="en-US"/>
        </w:rPr>
        <w:t>Investor</w:t>
      </w:r>
      <w:r w:rsidRPr="0010156E">
        <w:rPr>
          <w:lang w:val="ru-RU"/>
        </w:rPr>
        <w:t>.</w:t>
      </w:r>
      <w:r>
        <w:rPr>
          <w:lang w:val="en-US"/>
        </w:rPr>
        <w:t>bg</w:t>
      </w:r>
      <w:r w:rsidRPr="0010156E">
        <w:rPr>
          <w:lang w:val="ru-RU"/>
        </w:rPr>
        <w:t xml:space="preserve"> (</w:t>
      </w:r>
      <w:r>
        <w:t xml:space="preserve">електронна медия), относно взето решение на проведено ОС на едно публично дружество за разпределяне на дивидент, който е значително по-висок от реално определения размер на дивидента. Съобщението е публикувано на интернет страницата на медията в деня на провеждане на ОС, като формата на публикуваното в медията съобщение от лицето е идентична с тази на съобщенията, публикувани на сайта на БФБ. </w:t>
      </w:r>
      <w:r w:rsidRPr="008555CA">
        <w:rPr>
          <w:b/>
          <w:bCs/>
        </w:rPr>
        <w:t>Констатираното нарушение е за извършване на манипулативни действия, изразяващи се в разпространяване на невярна, преувеличена и подвеждаща информация. На лицето, извършило нарушението е наложена глоба в размер на 20 000 лева. Наказателното постановление</w:t>
      </w:r>
      <w:r>
        <w:rPr>
          <w:b/>
          <w:bCs/>
        </w:rPr>
        <w:t>, издадено от Димана Ранкова, в качеството й на заместник-председател на КФН, ръководещ управление НИД,</w:t>
      </w:r>
      <w:r w:rsidRPr="008555CA">
        <w:rPr>
          <w:b/>
          <w:bCs/>
        </w:rPr>
        <w:t xml:space="preserve"> е потвърдено от Административен съд – София.</w:t>
      </w:r>
    </w:p>
    <w:p w:rsidR="00E13E37" w:rsidRPr="008555CA" w:rsidRDefault="00E13E37" w:rsidP="00975C5E">
      <w:pPr>
        <w:ind w:firstLine="708"/>
        <w:jc w:val="both"/>
        <w:rPr>
          <w:b/>
          <w:bCs/>
        </w:rPr>
      </w:pPr>
    </w:p>
    <w:p w:rsidR="00E13E37" w:rsidRPr="008555CA" w:rsidRDefault="00E13E37" w:rsidP="00FB07BD">
      <w:pPr>
        <w:jc w:val="both"/>
        <w:rPr>
          <w:lang w:val="ru-RU"/>
        </w:rPr>
      </w:pPr>
      <w:r w:rsidRPr="000C22D5">
        <w:tab/>
      </w:r>
      <w:r w:rsidRPr="008555CA">
        <w:rPr>
          <w:lang w:val="ru-RU"/>
        </w:rPr>
        <w:t xml:space="preserve">С новия Регламент (ЕС) № 596/2014 относно пазарната злоупотреба, който </w:t>
      </w:r>
      <w:r>
        <w:t>ще</w:t>
      </w:r>
      <w:r w:rsidRPr="008555CA">
        <w:rPr>
          <w:lang w:val="ru-RU"/>
        </w:rPr>
        <w:t xml:space="preserve"> се прилага от 03.07.2016 г. също е предвидена забрана за извършване на пазарни злоупотреби, като понятието е разширено и в него е включено и незаконното разкриване на вътрешна информация.</w:t>
      </w:r>
    </w:p>
    <w:p w:rsidR="00E13E37" w:rsidRPr="008555CA" w:rsidRDefault="00E13E37" w:rsidP="0065431B">
      <w:pPr>
        <w:jc w:val="both"/>
        <w:rPr>
          <w:lang w:val="ru-RU"/>
        </w:rPr>
      </w:pPr>
      <w:r>
        <w:tab/>
      </w:r>
      <w:r w:rsidRPr="008555CA">
        <w:rPr>
          <w:lang w:val="ru-RU"/>
        </w:rPr>
        <w:t xml:space="preserve">Отделно от Регламента, в сила от 06.05.2014 г. е новата Директива 2014/57/ЕС относно наказателноправните санкции за пазарна злоупотреба. Тази Директива предвижда в срок до 03.07.2016 г. държавите членки да предвидят в националното си право наказателноправни санкции по отношение на злоупотребата с вътрешна информация </w:t>
      </w:r>
      <w:r>
        <w:t>и</w:t>
      </w:r>
      <w:r w:rsidRPr="008555CA">
        <w:rPr>
          <w:lang w:val="ru-RU"/>
        </w:rPr>
        <w:t xml:space="preserve"> манипулиране на пазара, т. е. криминализира се това поведение, когато е в тежки случаи и е извършено умишлено.</w:t>
      </w:r>
    </w:p>
    <w:p w:rsidR="00E13E37" w:rsidRPr="008555CA" w:rsidRDefault="00E13E37" w:rsidP="0065431B">
      <w:pPr>
        <w:widowControl w:val="0"/>
        <w:ind w:firstLine="851"/>
        <w:jc w:val="both"/>
        <w:rPr>
          <w:lang w:val="ru-RU"/>
        </w:rPr>
      </w:pPr>
      <w:r w:rsidRPr="008555CA">
        <w:rPr>
          <w:lang w:val="ru-RU"/>
        </w:rPr>
        <w:t>Директива 2014/57/ЕС предвижда за извършване на пазарна злоупотреба наказание за физически лица лишаване от свобода с максимален срок от не по-малко от четири години.</w:t>
      </w:r>
    </w:p>
    <w:p w:rsidR="00E13E37" w:rsidRPr="008555CA" w:rsidRDefault="00E13E37" w:rsidP="0065431B">
      <w:pPr>
        <w:widowControl w:val="0"/>
        <w:ind w:firstLine="851"/>
        <w:jc w:val="both"/>
        <w:rPr>
          <w:lang w:val="ru-RU"/>
        </w:rPr>
      </w:pPr>
      <w:r w:rsidRPr="008555CA">
        <w:rPr>
          <w:lang w:val="ru-RU"/>
        </w:rPr>
        <w:t>По отношение дадено юридическо лице, подведено под отговорност за престъпление за пазарна злоупотреба е предвидено:</w:t>
      </w:r>
    </w:p>
    <w:p w:rsidR="00E13E37" w:rsidRPr="008555CA" w:rsidRDefault="00E13E37" w:rsidP="0065431B">
      <w:pPr>
        <w:widowControl w:val="0"/>
        <w:ind w:firstLine="851"/>
        <w:jc w:val="both"/>
        <w:rPr>
          <w:lang w:val="ru-RU"/>
        </w:rPr>
      </w:pPr>
      <w:r w:rsidRPr="008555CA">
        <w:rPr>
          <w:lang w:val="ru-RU"/>
        </w:rPr>
        <w:t>а) лишаване от право да се ползва от публични облаги или помощи;</w:t>
      </w:r>
    </w:p>
    <w:p w:rsidR="00E13E37" w:rsidRPr="008555CA" w:rsidRDefault="00E13E37" w:rsidP="0065431B">
      <w:pPr>
        <w:widowControl w:val="0"/>
        <w:ind w:firstLine="851"/>
        <w:jc w:val="both"/>
        <w:rPr>
          <w:lang w:val="ru-RU"/>
        </w:rPr>
      </w:pPr>
      <w:r w:rsidRPr="008555CA">
        <w:rPr>
          <w:lang w:val="ru-RU"/>
        </w:rPr>
        <w:t>б) временно или постоянно лишаване от правото да упражнява търговска дейност;</w:t>
      </w:r>
    </w:p>
    <w:p w:rsidR="00E13E37" w:rsidRPr="008555CA" w:rsidRDefault="00E13E37" w:rsidP="0065431B">
      <w:pPr>
        <w:widowControl w:val="0"/>
        <w:ind w:firstLine="851"/>
        <w:jc w:val="both"/>
        <w:rPr>
          <w:lang w:val="ru-RU"/>
        </w:rPr>
      </w:pPr>
      <w:r w:rsidRPr="008555CA">
        <w:rPr>
          <w:lang w:val="ru-RU"/>
        </w:rPr>
        <w:t>в) поставяне под съдебен надзор;</w:t>
      </w:r>
    </w:p>
    <w:p w:rsidR="00E13E37" w:rsidRPr="008555CA" w:rsidRDefault="00E13E37" w:rsidP="0065431B">
      <w:pPr>
        <w:widowControl w:val="0"/>
        <w:ind w:firstLine="851"/>
        <w:jc w:val="both"/>
        <w:rPr>
          <w:lang w:val="ru-RU"/>
        </w:rPr>
      </w:pPr>
      <w:r w:rsidRPr="008555CA">
        <w:rPr>
          <w:lang w:val="ru-RU"/>
        </w:rPr>
        <w:t>г) съдебна ликвидация;</w:t>
      </w:r>
    </w:p>
    <w:p w:rsidR="00E13E37" w:rsidRPr="008555CA" w:rsidRDefault="00E13E37" w:rsidP="0065431B">
      <w:pPr>
        <w:widowControl w:val="0"/>
        <w:ind w:firstLine="851"/>
        <w:jc w:val="both"/>
        <w:rPr>
          <w:lang w:val="ru-RU"/>
        </w:rPr>
      </w:pPr>
      <w:r w:rsidRPr="008555CA">
        <w:rPr>
          <w:lang w:val="ru-RU"/>
        </w:rPr>
        <w:t>д) временно или постоянно затваряне на предприятията, използвани за извършването  на престъплението.</w:t>
      </w:r>
    </w:p>
    <w:p w:rsidR="00E13E37" w:rsidRPr="008555CA" w:rsidRDefault="00E13E37" w:rsidP="0065431B">
      <w:pPr>
        <w:rPr>
          <w:lang w:val="ru-RU"/>
        </w:rPr>
      </w:pPr>
    </w:p>
    <w:p w:rsidR="00E13E37" w:rsidRPr="0065431B" w:rsidRDefault="00E13E37" w:rsidP="00DA740A">
      <w:pPr>
        <w:ind w:firstLine="709"/>
        <w:rPr>
          <w:lang w:val="ru-RU"/>
        </w:rPr>
      </w:pPr>
    </w:p>
    <w:p w:rsidR="00E13E37" w:rsidRPr="006A2F78" w:rsidRDefault="00E13E37" w:rsidP="00B07A91">
      <w:pPr>
        <w:jc w:val="both"/>
      </w:pPr>
    </w:p>
    <w:p w:rsidR="00E13E37" w:rsidRPr="006A2F78" w:rsidRDefault="00E13E37">
      <w:pPr>
        <w:rPr>
          <w:rFonts w:ascii="Cambria" w:hAnsi="Cambria" w:cs="Cambria"/>
          <w:b/>
          <w:bCs/>
          <w:color w:val="365F91"/>
          <w:sz w:val="28"/>
          <w:szCs w:val="28"/>
        </w:rPr>
      </w:pPr>
    </w:p>
    <w:p w:rsidR="00E13E37" w:rsidRPr="006A2F78" w:rsidRDefault="00E13E37" w:rsidP="00790C3B">
      <w:pPr>
        <w:pStyle w:val="Heading1"/>
        <w:numPr>
          <w:ilvl w:val="0"/>
          <w:numId w:val="20"/>
        </w:numPr>
        <w:ind w:left="709" w:hanging="425"/>
        <w:rPr>
          <w:rFonts w:cs="Times New Roman"/>
          <w:b w:val="0"/>
          <w:bCs w:val="0"/>
        </w:rPr>
      </w:pPr>
      <w:r w:rsidRPr="006A2F78">
        <w:rPr>
          <w:rStyle w:val="Strong"/>
          <w:b/>
          <w:bCs/>
        </w:rPr>
        <w:t>Извън директно определените цели на изслушването в парламентарната Комисия по  бюджет и финанси, но за яснота, по повод изявлението пред медии на председателя на Комисията г-жа Менда Стоянова, че "..за мен наистина е странно защо се съсредоточават атаките към КФН, по отношение фалита на КТБ, вместо към банковия надзор или към одитора KPMG.." (цитирана от "Фокус"), вярваме, че следващите няколко въпроса ще наведат към размисъл уважаемите народни представители за инструментите, които КФН е имала, но не е упражнила за да сигнализира и предотврати нередностите, довели до затварянето на КТБ.  </w:t>
      </w:r>
      <w:r w:rsidRPr="006A2F78">
        <w:rPr>
          <w:rStyle w:val="Strong"/>
          <w:b/>
          <w:bCs/>
        </w:rPr>
        <w:br/>
      </w:r>
      <w:r w:rsidRPr="006A2F78">
        <w:rPr>
          <w:rFonts w:cs="Times New Roman"/>
          <w:b w:val="0"/>
          <w:bCs w:val="0"/>
        </w:rPr>
        <w:t> </w:t>
      </w:r>
    </w:p>
    <w:p w:rsidR="00E13E37" w:rsidRPr="006A2F78" w:rsidRDefault="00E13E37" w:rsidP="00790C3B">
      <w:pPr>
        <w:pStyle w:val="Heading2"/>
        <w:numPr>
          <w:ilvl w:val="1"/>
          <w:numId w:val="6"/>
        </w:numPr>
        <w:tabs>
          <w:tab w:val="clear" w:pos="1440"/>
        </w:tabs>
        <w:ind w:left="709"/>
      </w:pPr>
      <w:r w:rsidRPr="006A2F78">
        <w:t>В портфейлите на кои поднадзорни на КФН лица (застрахователи, здравни и пенсионни фондове, инвестиционни посредници и управляващи дружества) има публично търгувани на фондовата борса финансови инструменти - акции и облигации, издадени от КТБ и гравитиращите около нея структури ("ТЦ - ИМЕ", "Хелт енд Уелнес", НУРТС)? Какво предприе КФН, за да предпази тези поднадзорни лица и клиентите им от загуби?</w:t>
      </w:r>
    </w:p>
    <w:p w:rsidR="00E13E37" w:rsidRPr="006A2F78" w:rsidRDefault="00E13E37" w:rsidP="00F80994">
      <w:pPr>
        <w:ind w:firstLine="708"/>
        <w:jc w:val="both"/>
        <w:rPr>
          <w:color w:val="000000"/>
        </w:rPr>
      </w:pPr>
    </w:p>
    <w:p w:rsidR="00E13E37" w:rsidRPr="006A2F78" w:rsidRDefault="00E13E37" w:rsidP="00F80994">
      <w:pPr>
        <w:ind w:firstLine="708"/>
        <w:jc w:val="both"/>
        <w:rPr>
          <w:color w:val="000000"/>
        </w:rPr>
      </w:pPr>
      <w:r w:rsidRPr="006A2F78">
        <w:rPr>
          <w:color w:val="000000"/>
        </w:rPr>
        <w:t xml:space="preserve">По отношение на инвестиционната политика на поднадзорни на КФН лица, законодателя е определил, в различна степен за всеки вид дружество, изрични граници, както по вид финансови инструменти в които могат да инвестират, така и са въведени количествени ограничения. В тази връзка на КФН са предоставени ограничени правомощия за намеса в инвестиционната политика на поднадзорните лица. Защитата на инвеститорите се извършва основно, чрез осигуряване на публично достъпна информация за финансовите инструменти, съответно за финансовото състояние на дружеството емитент. Това се постига, първоначално чрез разкриване на информация в проспекта, както за самия предлаган за търговия финансов инструмент, така и за емитента. </w:t>
      </w:r>
      <w:r w:rsidRPr="006A2F78">
        <w:t xml:space="preserve">Съдържанието на проспектите се регламентира от ЗППЦК и Регламент (ЕО) № 809/2004 на Комисията от 29 април 2004 година относно прилагането на Директива 2003/71/ЕО на Европейския парламент и на Съвета по отношение на информацията, съдържаща се в проспектите, както и формата, включването чрез препратка и публикуването на подобни проспекти и разпространяването на реклами (Регламент 809/2004). В последствие тази защита се осигурява чрез </w:t>
      </w:r>
      <w:r w:rsidRPr="006A2F78">
        <w:rPr>
          <w:color w:val="000000"/>
        </w:rPr>
        <w:t>регулярно разкриване на информация финансова и вътрешна информация за емитента. По-голяма част от допуснатите до търговия облигационни емисии на българския регулиран пазар са обезпечени (важи за емисиите на посочените дружества), в тази връзка банката довереник на облигационерите следи за стойността на имуществото служещо за обезпечение, като при необходимост има право да се намеси включително чрез обявяване на емисията за предсрочно изискуема.</w:t>
      </w:r>
    </w:p>
    <w:p w:rsidR="00E13E37" w:rsidRPr="006A2F78" w:rsidRDefault="00E13E37" w:rsidP="00F80994">
      <w:pPr>
        <w:ind w:firstLine="708"/>
        <w:jc w:val="both"/>
      </w:pPr>
      <w:r w:rsidRPr="006A2F78">
        <w:rPr>
          <w:color w:val="000000"/>
        </w:rPr>
        <w:t xml:space="preserve">При опасност за интересите на инвеститорите в определен финансов инструмент е предвидено в чл. 212, ал. 1, т. 4 от ЗППЦК и чл. 118, ал. 1, т. 4 от ЗПФИ, правомощието на </w:t>
      </w:r>
      <w:r w:rsidRPr="006A2F78">
        <w:t xml:space="preserve">заместник – председателя на КФН, ръководещ управление „Надзор на инвестиционната дейност“ да спре от търговия на регулиран пазар този инструмент, временно или окончателно. </w:t>
      </w:r>
    </w:p>
    <w:p w:rsidR="00E13E37" w:rsidRPr="006A2F78" w:rsidRDefault="00E13E37" w:rsidP="00F80994">
      <w:pPr>
        <w:ind w:firstLine="708"/>
        <w:jc w:val="both"/>
        <w:rPr>
          <w:b/>
          <w:bCs/>
        </w:rPr>
      </w:pPr>
      <w:r w:rsidRPr="006A2F78">
        <w:t>В изпълнение на това си правомощие с</w:t>
      </w:r>
      <w:r w:rsidRPr="006A2F78">
        <w:rPr>
          <w:color w:val="000000"/>
        </w:rPr>
        <w:t xml:space="preserve"> Решение № 575-ФБ/20.06.2014 г., </w:t>
      </w:r>
      <w:r>
        <w:rPr>
          <w:color w:val="000000"/>
        </w:rPr>
        <w:t xml:space="preserve">Николай Попов, </w:t>
      </w:r>
      <w:r w:rsidRPr="006A2F78">
        <w:t xml:space="preserve">заместник-председателя на КФН, ръководещ управление „Надзор на инвестиционната дейност“ </w:t>
      </w:r>
      <w:r w:rsidRPr="006A2F78">
        <w:rPr>
          <w:color w:val="000000"/>
        </w:rPr>
        <w:t>з</w:t>
      </w:r>
      <w:r w:rsidRPr="006A2F78">
        <w:t xml:space="preserve">адължава „БФБ-София” АД, гр. София, незабавно да предприеме необходимите действия, в резултат на които, считано от </w:t>
      </w:r>
      <w:r w:rsidRPr="006A2F78">
        <w:rPr>
          <w:color w:val="000000"/>
        </w:rPr>
        <w:t>23.06.2014 г. до 25.06.2014 г.</w:t>
      </w:r>
      <w:r w:rsidRPr="006A2F78">
        <w:t>, включително,</w:t>
      </w:r>
      <w:r w:rsidRPr="006A2F78">
        <w:rPr>
          <w:color w:val="FF0000"/>
        </w:rPr>
        <w:t xml:space="preserve"> </w:t>
      </w:r>
      <w:r w:rsidRPr="006A2F78">
        <w:t xml:space="preserve">да бъде спряна търговията с емисия финансови инструменти ISIN BG1100129052, емитирана от „КОРПОРАТИВНА ТЪРГОВСКА БАНКА” АД, ЕИК: 831184677, борсов код 6C9. С последващи </w:t>
      </w:r>
      <w:r w:rsidRPr="006A2F78">
        <w:rPr>
          <w:color w:val="000000"/>
        </w:rPr>
        <w:t xml:space="preserve">Решение № 596-ФБ/25.06.2014 г.,  Решение № 673-ФБ /21.07.2014 г., Решение № 809-ФБ /24.09.2014 г. на </w:t>
      </w:r>
      <w:r w:rsidRPr="006A2F78">
        <w:t>заместник-председателя на КФН, ръководещ управление „Надзор на инвестиционната дейност“ е спряна търговията с емисия финансови инструменти ISIN BG1100129052, емитирана от „КОРПОРАТИВНА ТЪРГОВСКА БАНКА” АД</w:t>
      </w:r>
      <w:r w:rsidRPr="006A2F78">
        <w:rPr>
          <w:color w:val="000000"/>
        </w:rPr>
        <w:t xml:space="preserve"> за периода от 26.06.2014 г. до 25.11.2014 г. вкл. </w:t>
      </w:r>
      <w:r w:rsidRPr="006A2F78">
        <w:rPr>
          <w:i/>
          <w:iCs/>
        </w:rPr>
        <w:t xml:space="preserve"> </w:t>
      </w:r>
    </w:p>
    <w:p w:rsidR="00E13E37" w:rsidRPr="00E9124B" w:rsidRDefault="00E13E37" w:rsidP="00F80994">
      <w:pPr>
        <w:ind w:firstLine="708"/>
        <w:jc w:val="both"/>
        <w:rPr>
          <w:b/>
          <w:bCs/>
          <w:color w:val="000000"/>
        </w:rPr>
      </w:pPr>
      <w:r w:rsidRPr="006A2F78">
        <w:rPr>
          <w:color w:val="000000"/>
        </w:rPr>
        <w:t xml:space="preserve">Видно от публично достъпната информация (финансови отчети и отчети на довереника на облигационерите) да настоящия момент по емитираните от  „ХЕЛТ ЕНД УЕЛНЕС” </w:t>
      </w:r>
      <w:r w:rsidRPr="006A2F78">
        <w:t xml:space="preserve">АДСИЦ, </w:t>
      </w:r>
      <w:r w:rsidRPr="006A2F78">
        <w:rPr>
          <w:color w:val="000000"/>
        </w:rPr>
        <w:t xml:space="preserve">„Технологичен център - Институт по микроелектроника (ТЦ-ИМЕ)” АД „НУРТС БЪЛГАРИЯ” </w:t>
      </w:r>
      <w:r w:rsidRPr="006A2F78">
        <w:t xml:space="preserve">АД облигационни емисии </w:t>
      </w:r>
      <w:r w:rsidRPr="00E9124B">
        <w:rPr>
          <w:b/>
          <w:bCs/>
        </w:rPr>
        <w:t xml:space="preserve">няма просрочия по действащите погасителни планове приети от облигационерите. </w:t>
      </w:r>
    </w:p>
    <w:p w:rsidR="00E13E37" w:rsidRPr="006A2F78" w:rsidRDefault="00E13E37" w:rsidP="00AF1648">
      <w:pPr>
        <w:ind w:firstLine="851"/>
        <w:jc w:val="both"/>
      </w:pPr>
      <w:r w:rsidRPr="006A2F78">
        <w:t>След поставянето на „КТБ” АД под особен надзор в КФН не са постъпвали жалби нито на миноритарни акционери на КТБ, нито на държатели на облигации на свързаните с банката дружества. Предприетите от КФН действия (спирането на търговията с акциите на БФБ – което не пречи на извършването на сделки с тях на извънборсов пазар) до изясняването на инвестиционните перспективи на банката фактически предотврати възможна силна нестабилност на финансовите пазари и неблагоприятни последствия за инвестиционните портфейли, поради постъпващите крайно противоречиви новини и спекулации относно състоянието на банката през този период. Иначе казано, КФН е предприела действия напълно в съответствие със своите правомощия и основни цели.</w:t>
      </w:r>
    </w:p>
    <w:p w:rsidR="00E13E37" w:rsidRPr="006A2F78" w:rsidRDefault="00E13E37">
      <w:r w:rsidRPr="006A2F78">
        <w:br w:type="page"/>
      </w:r>
    </w:p>
    <w:p w:rsidR="00E13E37" w:rsidRPr="006A2F78" w:rsidRDefault="00E13E37" w:rsidP="006A2F78">
      <w:pPr>
        <w:pStyle w:val="Heading2"/>
        <w:numPr>
          <w:ilvl w:val="1"/>
          <w:numId w:val="6"/>
        </w:numPr>
        <w:tabs>
          <w:tab w:val="clear" w:pos="1440"/>
          <w:tab w:val="num" w:pos="-2410"/>
        </w:tabs>
        <w:ind w:left="851" w:hanging="425"/>
      </w:pPr>
      <w:r w:rsidRPr="006A2F78">
        <w:t>Видно от публичните обявления на БНБ "аферата КТБ" не се изчерпва само с действия на самата банка, а и на част от свързаните с нея дружества, които са същевременно и издатели на публично търгувани на фондовата борса финансови инструменти, за което са получили одобрение от КФН. Как те са преминали успешно под надзора на КФН, когато са издадени потвърждения на проспектите на всички тези дружества? Проблемите, които бяха констатирани и публично оповестени през 2014 г. около КТБ и свързаните с нея дружества, не направиха ли впечатление на КФН още тогава, защото освен потвърждение на проспект тези поднадзорни на КФН лица, в качеството им на публични дружества или емитенти на други финансови инструменти, представят пред КФН регулярна информация?</w:t>
      </w:r>
    </w:p>
    <w:p w:rsidR="00E13E37" w:rsidRPr="006A2F78" w:rsidRDefault="00E13E37" w:rsidP="00790C3B">
      <w:pPr>
        <w:ind w:left="709"/>
        <w:jc w:val="both"/>
      </w:pPr>
    </w:p>
    <w:p w:rsidR="00E13E37" w:rsidRPr="006A2F78" w:rsidRDefault="00E13E37" w:rsidP="006A2F78">
      <w:pPr>
        <w:pStyle w:val="Heading3"/>
      </w:pPr>
      <w:r w:rsidRPr="006A2F78">
        <w:t>Проспекти на емисии ценни книжа</w:t>
      </w:r>
    </w:p>
    <w:p w:rsidR="00E13E37" w:rsidRPr="006A2F78" w:rsidRDefault="00E13E37" w:rsidP="00AF1648">
      <w:pPr>
        <w:ind w:firstLine="851"/>
        <w:jc w:val="both"/>
      </w:pPr>
      <w:r w:rsidRPr="006A2F78">
        <w:t>Визираните дружества са преминали успешно надзорните мерки на КФН като са съблюдавали и изпълнили всички законови и регулаторни изисквания като емитенти. Тези законови положения са изцяло транспонирани от законодателството на ЕС (виж по-долу), което е изключително строго в това отношение, а КФН не би могла да го смекчи по никакъв начин.</w:t>
      </w:r>
    </w:p>
    <w:p w:rsidR="00E13E37" w:rsidRPr="006A2F78" w:rsidRDefault="00E13E37" w:rsidP="00AF1648">
      <w:pPr>
        <w:ind w:firstLine="851"/>
        <w:jc w:val="both"/>
      </w:pPr>
      <w:r w:rsidRPr="006A2F78">
        <w:t>Съгласно чл. 78 от Закона за публичното предлагане на ценни книжа (ЗППЦК), не се разрешава извършване на публично предлагане на ценни книжа и допускане на ценни книжа до търговия на регулиран пазар преди емитентът, предложителят или лицето, което иска допускане на ценните книжа до търговия на регулиран пазар, да публикува проспект по начина и със съдържанието, установени в закона и актовете по прилагането му. Проспектът за публично предлагане или допускане до търговия на регулиран пазар може да се публикува, само ако Комисията е издала писмено потвърждение на проспекта.</w:t>
      </w:r>
    </w:p>
    <w:p w:rsidR="00E13E37" w:rsidRPr="006A2F78" w:rsidRDefault="00E13E37" w:rsidP="00AF1648">
      <w:pPr>
        <w:ind w:firstLine="851"/>
        <w:jc w:val="both"/>
      </w:pPr>
      <w:r w:rsidRPr="006A2F78">
        <w:t>При увеличение на капитала на публични дружества, извън случаите на увеличение със собствени средства (капитализиране на печалбата), се изготвя и представя в КФН проспект за публично предлагане на акции.</w:t>
      </w:r>
    </w:p>
    <w:p w:rsidR="00E13E37" w:rsidRPr="006A2F78" w:rsidRDefault="00E13E37" w:rsidP="00AF1648">
      <w:pPr>
        <w:ind w:firstLine="851"/>
        <w:jc w:val="both"/>
      </w:pPr>
      <w:r w:rsidRPr="006A2F78">
        <w:t>През последните 5 години КФН е издала потвърждение на общо 150 проспекта за публично предлагане или допускане до търговия на регулиран пазар на ценни книжа, от които 73 (приблизително 1/2) за публично предлагане на акции.</w:t>
      </w:r>
      <w:r w:rsidRPr="006A2F78">
        <w:tab/>
      </w:r>
    </w:p>
    <w:p w:rsidR="00E13E37" w:rsidRPr="006A2F78" w:rsidRDefault="00E13E37" w:rsidP="00AF1648">
      <w:pPr>
        <w:ind w:firstLine="851"/>
        <w:jc w:val="both"/>
      </w:pPr>
      <w:r w:rsidRPr="006A2F78">
        <w:t xml:space="preserve">Процедурата за преглед и потвърждаване на проспекти се извършва на основание на ЗППЦК, в който са транспонирани европейските норми, а именно ДИРЕКТИВА 2003/71/ЕО НА ЕВРОПЕЙСКИЯ ПАРЛАМЕНТ И НА СЪВЕТА от 4 ноември 2003 година относно проспекта, който следва да се публикува, когато публично се предлагат ценни книжа или когато се допускат ценни книжа до търгуване, и за изменение на Директива 2001/34/ЕО. </w:t>
      </w:r>
    </w:p>
    <w:p w:rsidR="00E13E37" w:rsidRPr="006A2F78" w:rsidRDefault="00E13E37" w:rsidP="00AF1648">
      <w:pPr>
        <w:ind w:firstLine="851"/>
        <w:jc w:val="both"/>
      </w:pPr>
      <w:r w:rsidRPr="006A2F78">
        <w:t>Съдържанието на проспектите се регламентира от ЗППЦК и Регламент (ЕО) № 809/2004 на Комисията от 29 април 2004 година относно прилагането на Директива 2003/71/ЕО на Европейския парламент и на Съвета по отношение на информацията, съдържаща се в проспектите, както и формата, включването чрез препратка и публикуването на подобни проспекти и разпространяването на реклами (Регламент 809/2004).</w:t>
      </w:r>
    </w:p>
    <w:p w:rsidR="00E13E37" w:rsidRDefault="00E13E37" w:rsidP="00AF1648">
      <w:pPr>
        <w:ind w:firstLine="851"/>
        <w:jc w:val="both"/>
      </w:pPr>
      <w:r w:rsidRPr="006A2F78">
        <w:t>Проспектът съдържа цялата информация, която съобразно конкретните особености на емитента и ценните книжа, които се предлагат публично или се допускат до търговия на регулиран пазар, е необходима на инвеститорите за точна оценка на икономическото и финансовото състояние, активите и пасивите, финансовите резултати, перспективите за развитие на емитента и лицата, гарантиращи ценните книжа, както и на правата, свързани с ценните книжа.</w:t>
      </w:r>
    </w:p>
    <w:p w:rsidR="00E13E37" w:rsidRPr="006A2F78" w:rsidRDefault="00E13E37" w:rsidP="00AF1648">
      <w:pPr>
        <w:ind w:firstLine="851"/>
        <w:jc w:val="both"/>
        <w:rPr>
          <w:color w:val="000000"/>
        </w:rPr>
      </w:pPr>
      <w:r w:rsidRPr="006A2F78">
        <w:t xml:space="preserve">Особено внимание се обръща на рисковите фактори, </w:t>
      </w:r>
      <w:r w:rsidRPr="006A2F78">
        <w:rPr>
          <w:color w:val="000000"/>
        </w:rPr>
        <w:t>които са специфични за емитента или за неговия отрасъл, на структурата на акционерния капитал, транзакции между свързани лица, както и на финансова информация, отнасяща се до активите и задълженията на емитента, финансовото му състояние, печалби и загуби.</w:t>
      </w:r>
    </w:p>
    <w:p w:rsidR="00E13E37" w:rsidRPr="006A2F78" w:rsidRDefault="00E13E37" w:rsidP="00AF1648">
      <w:pPr>
        <w:ind w:firstLine="851"/>
        <w:jc w:val="both"/>
      </w:pPr>
      <w:r w:rsidRPr="006A2F78">
        <w:t>Въз основа на представените документи Комисията установява доколко са спазени изискванията за издаване на исканото потвърждение и ако проспекта отговаря на изискванията на закона, издава потвърждение за публикуване на проспекта.</w:t>
      </w:r>
    </w:p>
    <w:p w:rsidR="00E13E37" w:rsidRPr="006A2F78" w:rsidRDefault="00E13E37" w:rsidP="00AF1648">
      <w:pPr>
        <w:ind w:firstLine="851"/>
        <w:jc w:val="both"/>
        <w:rPr>
          <w:b/>
          <w:bCs/>
          <w:i/>
          <w:iCs/>
        </w:rPr>
      </w:pPr>
      <w:r w:rsidRPr="006A2F78">
        <w:rPr>
          <w:b/>
          <w:bCs/>
          <w:i/>
          <w:iCs/>
        </w:rPr>
        <w:t>Комисията не носи отговорност за верността на съдържащите се в проспекта данни, но извършва проверка и ако представените данни и документи са непълни или нередовни или са необходими допълнителна информация или доказателства за верността на данните, Комисията изисква от заявителя да коригира или допълни информацията в проспекта.</w:t>
      </w:r>
    </w:p>
    <w:p w:rsidR="00E13E37" w:rsidRPr="006A2F78" w:rsidRDefault="00E13E37" w:rsidP="00AF1648">
      <w:pPr>
        <w:ind w:firstLine="851"/>
        <w:jc w:val="both"/>
      </w:pPr>
      <w:r w:rsidRPr="006A2F78">
        <w:t>Източниците на информация, спрямо които се прави съпоставка за достоверност и пълнота на информацията в проспекта са различни, но основните от тях са финансовите отчети на дружеството, данните в търговския регистър, воден от Агенция по вписванията, публично оповестена от дружеството информация, както и информация в доклади, статистически отчети и други. Комисията не отговаря за достоверността на информацията в цитираните източници, отговорност за това носят лицата, които са изготвили и публикували информацията в тях. Проверката осъществявана от КФН в тази си част, основно, но не само се изразява в това информацията в проспекта да не противоречи на тази в посочените по-гори източници, която е публично оповестена.</w:t>
      </w:r>
    </w:p>
    <w:p w:rsidR="00E13E37" w:rsidRPr="006A2F78" w:rsidRDefault="00E13E37" w:rsidP="00AF1648">
      <w:pPr>
        <w:ind w:firstLine="851"/>
        <w:jc w:val="both"/>
        <w:rPr>
          <w:b/>
          <w:bCs/>
          <w:i/>
          <w:iCs/>
          <w:color w:val="000000"/>
          <w:highlight w:val="yellow"/>
        </w:rPr>
      </w:pPr>
      <w:r w:rsidRPr="006A2F78">
        <w:rPr>
          <w:color w:val="000000"/>
        </w:rPr>
        <w:t xml:space="preserve">По отношение на изказаното </w:t>
      </w:r>
      <w:r>
        <w:rPr>
          <w:color w:val="000000"/>
        </w:rPr>
        <w:t xml:space="preserve">във въпроса </w:t>
      </w:r>
      <w:r w:rsidRPr="006A2F78">
        <w:rPr>
          <w:color w:val="000000"/>
        </w:rPr>
        <w:t xml:space="preserve">твърдение за проблеми, които са констатирани и публично оповестени през 2014 г. около „КТБ” АД и свързваните с нея дружества, следва да се отбележи, че ако има проблеми, то те не са предмет на процедурата по преглед и потвърждаване на проспектите. От информацията в проспектите, както и от публично достъпните данни е видно, че по отношение на цитираните дружества не е налице информация за свързаност/заинтересованост с „КТБ” АД или мажоритарния акционер на банката, съгласно разпоредбите на ЗППЦК (чл. 114, ал. 6, §1, т. 13 и т. 14 от ДР на ЗППЦК). </w:t>
      </w:r>
      <w:r w:rsidRPr="006A2F78">
        <w:rPr>
          <w:b/>
          <w:bCs/>
          <w:i/>
          <w:iCs/>
          <w:color w:val="000000"/>
        </w:rPr>
        <w:t>При прегледа на проспектите не са открити несъответствия, които да дават основание за издаване на отказ за потвърждаване на проспектите.</w:t>
      </w:r>
      <w:r w:rsidRPr="006A2F78">
        <w:rPr>
          <w:b/>
          <w:bCs/>
          <w:i/>
          <w:iCs/>
          <w:color w:val="000000"/>
          <w:highlight w:val="yellow"/>
        </w:rPr>
        <w:t xml:space="preserve"> </w:t>
      </w:r>
    </w:p>
    <w:p w:rsidR="00E13E37" w:rsidRPr="006A2F78" w:rsidRDefault="00E13E37" w:rsidP="00AF1648">
      <w:pPr>
        <w:ind w:firstLine="851"/>
        <w:jc w:val="both"/>
      </w:pPr>
      <w:r w:rsidRPr="006A2F78">
        <w:t>Предупреждаването на инвеститорите за потенциални рискове на пазара се осъществява чрез разкриването на информация от публичните дружества и други емитенти на ценни книжа по силата на разпоредбите на ЗППЦК. Комисията следи стриктно за изпълнението на тези разпоредби и при неизпълнението им предприема мерките разписани в закона и актовете по прилагането му.</w:t>
      </w:r>
    </w:p>
    <w:p w:rsidR="00E13E37" w:rsidRPr="006A2F78" w:rsidRDefault="00E13E37" w:rsidP="00AF1648">
      <w:pPr>
        <w:ind w:firstLine="851"/>
        <w:jc w:val="both"/>
      </w:pPr>
      <w:r w:rsidRPr="006A2F78">
        <w:tab/>
      </w:r>
    </w:p>
    <w:p w:rsidR="00E13E37" w:rsidRPr="006A2F78" w:rsidRDefault="00E13E37" w:rsidP="006A2F78">
      <w:pPr>
        <w:pStyle w:val="Heading4"/>
      </w:pPr>
      <w:r>
        <w:t>Относно потвърдения проспект</w:t>
      </w:r>
      <w:r w:rsidRPr="006A2F78">
        <w:t xml:space="preserve"> на "КТБ"</w:t>
      </w:r>
      <w:r>
        <w:t xml:space="preserve"> АД</w:t>
      </w:r>
      <w:r w:rsidRPr="006A2F78">
        <w:t>:</w:t>
      </w:r>
    </w:p>
    <w:p w:rsidR="00E13E37" w:rsidRDefault="00E13E37" w:rsidP="00AF1648">
      <w:pPr>
        <w:ind w:firstLine="851"/>
        <w:jc w:val="both"/>
      </w:pPr>
      <w:r w:rsidRPr="006A2F78">
        <w:t xml:space="preserve">1. През последните 5 години </w:t>
      </w:r>
      <w:r w:rsidRPr="006A2F78">
        <w:rPr>
          <w:b/>
          <w:bCs/>
        </w:rPr>
        <w:t>„</w:t>
      </w:r>
      <w:r w:rsidRPr="006A2F78">
        <w:t xml:space="preserve">КОРПОРАТИВНА ТЪРГОВСКА БАНКА” АД, в качеството си на публично дружество има потвърден от КФН с Решение № 137 – Е от 20.02.2013 г. проспект за увеличение на капитала, чрез публично предлагане на акции. Предлагането е приключило успешно и в резултат на това капитала на банката е увеличен от 60 000 000 лв. на 65 517 310 лв. </w:t>
      </w:r>
    </w:p>
    <w:p w:rsidR="00E13E37" w:rsidRPr="00E9124B" w:rsidRDefault="00E13E37" w:rsidP="00AF1648">
      <w:pPr>
        <w:ind w:firstLine="851"/>
        <w:jc w:val="both"/>
        <w:rPr>
          <w:b/>
          <w:bCs/>
        </w:rPr>
      </w:pPr>
      <w:r w:rsidRPr="00E9124B">
        <w:rPr>
          <w:b/>
          <w:bCs/>
        </w:rPr>
        <w:t>Надзор върху капиталовата адекватност и ликвидност на банката се извършва от Българска Народна Банка (БНБ).</w:t>
      </w:r>
    </w:p>
    <w:p w:rsidR="00E13E37" w:rsidRPr="006A2F78" w:rsidRDefault="00E13E37" w:rsidP="00AF1648">
      <w:pPr>
        <w:ind w:firstLine="851"/>
        <w:jc w:val="both"/>
        <w:rPr>
          <w:i/>
          <w:iCs/>
        </w:rPr>
      </w:pPr>
      <w:r w:rsidRPr="006A2F78">
        <w:t>В потвърдения с Решение № 137 – Е проспект, който е публичен и достъпен за всеки инвеститор, е оповестена информация, както за рисковете, свързани с акциите, така и за рискове, свързани с Банката (Групата) и отрасъла, в който оперира Банката (Групата), така и специфични за самото дружество, включително, но не само</w:t>
      </w:r>
      <w:r>
        <w:t xml:space="preserve">: </w:t>
      </w:r>
      <w:r w:rsidRPr="006A2F78">
        <w:rPr>
          <w:i/>
          <w:iCs/>
        </w:rPr>
        <w:t>риск от висока концентрация на заемите в портфолиото на Групата; рискове, свързани с качеството на отпуснатите кредити; риск, свързан с това, че част от заемите са обезпечени с недвижими имоти; риск, свързан със затруднения при набирането на допълнителен капитал за подкрепа на растежа; риск, свързан с високата депозитна концентрация; риск, свързан с негативни публикации; регулаторен риск; риск, свързан с нарушаване на регулаторните изисквания; риск, свързан с ключовия персонал; риск, свързан с политиките за управление на риска и риск, свързан с въздействието на основните акционери.</w:t>
      </w:r>
    </w:p>
    <w:p w:rsidR="00E13E37" w:rsidRPr="006A2F78" w:rsidRDefault="00E13E37" w:rsidP="00AF1648">
      <w:pPr>
        <w:ind w:firstLine="851"/>
        <w:jc w:val="both"/>
      </w:pPr>
      <w:r w:rsidRPr="006A2F78">
        <w:t>Информацията за</w:t>
      </w:r>
      <w:r w:rsidRPr="006A2F78">
        <w:rPr>
          <w:b/>
          <w:bCs/>
        </w:rPr>
        <w:t xml:space="preserve"> </w:t>
      </w:r>
      <w:r w:rsidRPr="006A2F78">
        <w:t>рисковете, свързани с концентрацията и качеството на отпуснатите кредити съдържа данни към датата на проспекта за структурата на кредитния портфейл, включително по размер на кредитите, ползващи се лица и редовност на обслужването им.</w:t>
      </w:r>
    </w:p>
    <w:p w:rsidR="00E13E37" w:rsidRPr="006A2F78" w:rsidRDefault="00E13E37" w:rsidP="00AF1648">
      <w:pPr>
        <w:ind w:firstLine="851"/>
        <w:jc w:val="both"/>
      </w:pPr>
      <w:r w:rsidRPr="006A2F78">
        <w:t>Към датата на проспекта е разкрита информация за икономическата група на „КТБ” АД, в която се включват три дъщерни дружества – „Велдер Консулт” ООД; „Дар 02” ООД и УД „КТБ Асет мениджмънт” АД. Също така е уточнено, че „КТБ” АД е дъщерно дружество на „Бромак” ЕООД и е част от неговата икономическа група. Направено е описание на групата на „Бромак” ЕООД, а именно: „КТБ” АД, „Бромак Телеком Инвест” АД, „Бромак Финанс” ЕАД, „Фина-С” АД, „Пирин Корпорейшън” ЕООД и „Бромак Габрово” ЕООД. Отбелязано е, че чрез V Telecom Investments S.C.A., Люксембург, през ноември 2012 г., „Бромак” ЕООД е придобило непряко 43.3% от „Вива Телеком България” ЕАД – мажоритарен акционер, притежаващ повече от 94% от акциите от капитала в „Българска телекомуникационна компания” АД („БТК” АД).</w:t>
      </w:r>
    </w:p>
    <w:p w:rsidR="00E13E37" w:rsidRDefault="00E13E37" w:rsidP="00AF1648">
      <w:pPr>
        <w:ind w:firstLine="851"/>
        <w:jc w:val="both"/>
      </w:pPr>
      <w:r w:rsidRPr="006A2F78">
        <w:t>В проспекта е оповестена информация за сделките със свързани лица, съгласно приложимите счетоводни стандарти и изискванията на Регламент № 809/2004.</w:t>
      </w:r>
    </w:p>
    <w:p w:rsidR="00E13E37" w:rsidRPr="006A2F78" w:rsidRDefault="00E13E37" w:rsidP="00AF1648">
      <w:pPr>
        <w:ind w:firstLine="851"/>
        <w:jc w:val="both"/>
      </w:pPr>
    </w:p>
    <w:p w:rsidR="00E13E37" w:rsidRPr="00E9124B" w:rsidRDefault="00E13E37" w:rsidP="00AF1648">
      <w:pPr>
        <w:ind w:firstLine="851"/>
        <w:jc w:val="both"/>
        <w:rPr>
          <w:b/>
          <w:bCs/>
          <w:i/>
          <w:iCs/>
          <w:u w:val="single"/>
        </w:rPr>
      </w:pPr>
      <w:r w:rsidRPr="006A2F78">
        <w:rPr>
          <w:b/>
          <w:bCs/>
          <w:i/>
          <w:iCs/>
        </w:rPr>
        <w:t>В заключение може да се обобщи, че от компетентността на КФН е да изиска да се разкрие информация по отношение на дейността на банката</w:t>
      </w:r>
      <w:r w:rsidRPr="00E9124B">
        <w:rPr>
          <w:b/>
          <w:bCs/>
          <w:i/>
          <w:iCs/>
          <w:u w:val="single"/>
        </w:rPr>
        <w:t xml:space="preserve">, като основен източник на тази информация са отчетите, включително тези изготвяни за надзорни цели на БНБ и в конкретния случай това и извършено, доколкото проспекта съдържа цялата изискуема информация. </w:t>
      </w:r>
    </w:p>
    <w:p w:rsidR="00E13E37" w:rsidRPr="006A2F78" w:rsidRDefault="00E13E37" w:rsidP="00AF1648">
      <w:pPr>
        <w:ind w:firstLine="851"/>
        <w:jc w:val="both"/>
        <w:rPr>
          <w:b/>
          <w:bCs/>
          <w:i/>
          <w:iCs/>
        </w:rPr>
      </w:pPr>
    </w:p>
    <w:p w:rsidR="00E13E37" w:rsidRPr="006A2F78" w:rsidRDefault="00E13E37" w:rsidP="00AF1648">
      <w:pPr>
        <w:ind w:firstLine="851"/>
        <w:jc w:val="both"/>
        <w:rPr>
          <w:b/>
          <w:bCs/>
          <w:i/>
          <w:iCs/>
        </w:rPr>
      </w:pPr>
      <w:r w:rsidRPr="006A2F78">
        <w:rPr>
          <w:b/>
          <w:bCs/>
          <w:i/>
          <w:iCs/>
        </w:rPr>
        <w:t>По отношение на съдържащите са в отчетите данни и кредитната дейност на банката, включително за това дали банката отпуска кредити на свързани лица, компетентността е единствено и изцяло на БНБ, като орган осъществяващ надзора над банковите финансови институции.</w:t>
      </w:r>
    </w:p>
    <w:p w:rsidR="00E13E37" w:rsidRPr="006A2F78" w:rsidRDefault="00E13E37" w:rsidP="00AF1648">
      <w:pPr>
        <w:ind w:firstLine="851"/>
        <w:jc w:val="both"/>
      </w:pPr>
    </w:p>
    <w:p w:rsidR="00E13E37" w:rsidRPr="006A2F78" w:rsidRDefault="00E13E37" w:rsidP="006A2F78">
      <w:pPr>
        <w:pStyle w:val="Heading4"/>
      </w:pPr>
      <w:r w:rsidRPr="006A2F78">
        <w:t>По отношение на потвърдените проспектите на други, „свързвани” с „КТБ” АД дружества:</w:t>
      </w:r>
    </w:p>
    <w:p w:rsidR="00E13E37" w:rsidRPr="006A2F78" w:rsidRDefault="00E13E37" w:rsidP="006A2F78">
      <w:pPr>
        <w:pStyle w:val="Heading5"/>
      </w:pPr>
      <w:r w:rsidRPr="006A2F78">
        <w:t>„НУРТС БЪЛГАРИЯ” АД</w:t>
      </w:r>
    </w:p>
    <w:p w:rsidR="00E13E37" w:rsidRPr="006A2F78" w:rsidRDefault="00E13E37" w:rsidP="00AF1648">
      <w:pPr>
        <w:spacing w:line="270" w:lineRule="atLeast"/>
        <w:ind w:firstLine="851"/>
        <w:jc w:val="both"/>
        <w:rPr>
          <w:color w:val="000000"/>
        </w:rPr>
      </w:pPr>
      <w:r w:rsidRPr="006A2F78">
        <w:t xml:space="preserve">С Решение </w:t>
      </w:r>
      <w:r w:rsidRPr="006A2F78">
        <w:rPr>
          <w:color w:val="000000"/>
        </w:rPr>
        <w:t>146-Е/ 2.02.2013 г. КФН, Потвърждава проспект за допускане до търговия на регулиран пазар на емисия корпоративни облигации, издадени от „НУРТС БЪЛГАРИЯ” АД, в размер на 40 000 000 евро, разпределени в 40 000 броя обикновени, корпоративни, лихвоносни, безналични, поименни, свободно-прехвърляеми и обезпечени облигации, с номинална стойност 1 000 евро, ISIN код BG2100017123, с лихва - шестмесечен EURIBOR + надбавка от 5,5%, но не по-малко от 6,0% годишно, платима на всеки 6 месеца, при лихвена конвенция Actual/360 – брой реален дни в годината на база 360 в съответната година, с изплащане на главницата – заедно с последните шест лихвени плащания от 27.03.2015 г, и с дата на падежа: 27.09.2017 г.</w:t>
      </w:r>
    </w:p>
    <w:p w:rsidR="00E13E37" w:rsidRPr="006A2F78" w:rsidRDefault="00E13E37" w:rsidP="00AF1648">
      <w:pPr>
        <w:ind w:firstLine="851"/>
        <w:jc w:val="both"/>
      </w:pPr>
      <w:r w:rsidRPr="006A2F78">
        <w:rPr>
          <w:color w:val="000000"/>
        </w:rPr>
        <w:t xml:space="preserve">„НУРТС БЪЛГАРИЯ” </w:t>
      </w:r>
      <w:r w:rsidRPr="006A2F78">
        <w:t xml:space="preserve">АД е използвало, постъпленията от облигационния заем за погасяване на текущите кредити и разходи, свързани с тях в следния ред: </w:t>
      </w:r>
    </w:p>
    <w:p w:rsidR="00E13E37" w:rsidRPr="006A2F78" w:rsidRDefault="00E13E37" w:rsidP="00AF1648">
      <w:pPr>
        <w:numPr>
          <w:ilvl w:val="0"/>
          <w:numId w:val="2"/>
        </w:numPr>
        <w:tabs>
          <w:tab w:val="clear" w:pos="720"/>
          <w:tab w:val="left" w:pos="1080"/>
        </w:tabs>
        <w:ind w:left="0" w:firstLine="851"/>
        <w:jc w:val="both"/>
        <w:rPr>
          <w:color w:val="000000"/>
        </w:rPr>
      </w:pPr>
      <w:r w:rsidRPr="006A2F78">
        <w:t xml:space="preserve">пълно погасяване на дължимите суми по договор за инвестиционен кредит от 23.11.2011 г., сключен с  ТБ „КТБ”АД, в размер на 36 980 500 евро – главница и 221 883 евро – лихви. </w:t>
      </w:r>
    </w:p>
    <w:p w:rsidR="00E13E37" w:rsidRPr="006A2F78" w:rsidRDefault="00E13E37" w:rsidP="00AF1648">
      <w:pPr>
        <w:numPr>
          <w:ilvl w:val="0"/>
          <w:numId w:val="2"/>
        </w:numPr>
        <w:tabs>
          <w:tab w:val="clear" w:pos="720"/>
          <w:tab w:val="left" w:pos="1080"/>
        </w:tabs>
        <w:ind w:left="0" w:firstLine="851"/>
        <w:jc w:val="both"/>
        <w:rPr>
          <w:color w:val="000000"/>
        </w:rPr>
      </w:pPr>
      <w:r w:rsidRPr="006A2F78">
        <w:t>пълно погасяване на дължимите суми по договор за оборотен кредит от 11.11.2010 г., сключен с  ТБ „КТБ”АД, в размер на 21 969 евро.</w:t>
      </w:r>
    </w:p>
    <w:p w:rsidR="00E13E37" w:rsidRPr="006A2F78" w:rsidRDefault="00E13E37" w:rsidP="00AF1648">
      <w:pPr>
        <w:tabs>
          <w:tab w:val="left" w:pos="1080"/>
        </w:tabs>
        <w:jc w:val="both"/>
        <w:rPr>
          <w:color w:val="000000"/>
        </w:rPr>
      </w:pPr>
    </w:p>
    <w:p w:rsidR="00E13E37" w:rsidRPr="006A2F78" w:rsidRDefault="00E13E37" w:rsidP="00AF1648">
      <w:pPr>
        <w:ind w:firstLine="851"/>
        <w:rPr>
          <w:b/>
          <w:bCs/>
          <w:u w:val="single"/>
        </w:rPr>
      </w:pPr>
      <w:r w:rsidRPr="006A2F78">
        <w:rPr>
          <w:b/>
          <w:bCs/>
          <w:u w:val="single"/>
        </w:rPr>
        <w:t>Акционери:</w:t>
      </w:r>
    </w:p>
    <w:p w:rsidR="00E13E37" w:rsidRPr="006A2F78" w:rsidRDefault="00E13E37" w:rsidP="006A2F78">
      <w:pPr>
        <w:pStyle w:val="ListParagraph"/>
        <w:numPr>
          <w:ilvl w:val="0"/>
          <w:numId w:val="13"/>
        </w:numPr>
        <w:rPr>
          <w:b/>
          <w:bCs/>
        </w:rPr>
      </w:pPr>
      <w:r w:rsidRPr="006A2F78">
        <w:rPr>
          <w:b/>
          <w:bCs/>
        </w:rPr>
        <w:t xml:space="preserve">Блусат Партнърс Лимитид Лтд., </w:t>
      </w:r>
      <w:r w:rsidRPr="006A2F78">
        <w:t>Дубай, ОАЕ</w:t>
      </w:r>
      <w:r w:rsidRPr="006A2F78">
        <w:rPr>
          <w:b/>
          <w:bCs/>
        </w:rPr>
        <w:t xml:space="preserve">  - 50 %</w:t>
      </w:r>
    </w:p>
    <w:p w:rsidR="00E13E37" w:rsidRPr="006A2F78" w:rsidRDefault="00E13E37" w:rsidP="006A2F78">
      <w:pPr>
        <w:pStyle w:val="ListParagraph"/>
        <w:numPr>
          <w:ilvl w:val="0"/>
          <w:numId w:val="13"/>
        </w:numPr>
        <w:rPr>
          <w:b/>
          <w:bCs/>
        </w:rPr>
      </w:pPr>
      <w:r w:rsidRPr="006A2F78">
        <w:rPr>
          <w:b/>
          <w:bCs/>
          <w:color w:val="000000"/>
        </w:rPr>
        <w:t xml:space="preserve">Манселорд лимитид, </w:t>
      </w:r>
      <w:r w:rsidRPr="006A2F78">
        <w:rPr>
          <w:color w:val="000000"/>
        </w:rPr>
        <w:t>Република Кипър</w:t>
      </w:r>
      <w:r w:rsidRPr="006A2F78">
        <w:rPr>
          <w:b/>
          <w:bCs/>
          <w:color w:val="000000"/>
        </w:rPr>
        <w:t xml:space="preserve">  </w:t>
      </w:r>
      <w:r w:rsidRPr="006A2F78">
        <w:rPr>
          <w:b/>
          <w:bCs/>
        </w:rPr>
        <w:t>- 50 %</w:t>
      </w:r>
    </w:p>
    <w:p w:rsidR="00E13E37" w:rsidRPr="006A2F78" w:rsidRDefault="00E13E37" w:rsidP="006A2F78">
      <w:pPr>
        <w:tabs>
          <w:tab w:val="left" w:pos="2310"/>
        </w:tabs>
        <w:spacing w:line="270" w:lineRule="atLeast"/>
        <w:jc w:val="both"/>
        <w:rPr>
          <w:color w:val="000000"/>
        </w:rPr>
      </w:pPr>
    </w:p>
    <w:p w:rsidR="00E13E37" w:rsidRPr="006A2F78" w:rsidRDefault="00E13E37" w:rsidP="00AF1648">
      <w:pPr>
        <w:tabs>
          <w:tab w:val="left" w:pos="2310"/>
        </w:tabs>
        <w:spacing w:line="270" w:lineRule="atLeast"/>
        <w:ind w:firstLine="851"/>
        <w:jc w:val="both"/>
        <w:rPr>
          <w:b/>
          <w:bCs/>
          <w:color w:val="000000"/>
          <w:u w:val="single"/>
        </w:rPr>
      </w:pPr>
      <w:r w:rsidRPr="006A2F78">
        <w:rPr>
          <w:b/>
          <w:bCs/>
          <w:color w:val="000000"/>
          <w:u w:val="single"/>
        </w:rPr>
        <w:t>Обезпечения:</w:t>
      </w:r>
    </w:p>
    <w:p w:rsidR="00E13E37" w:rsidRPr="006A2F78" w:rsidRDefault="00E13E37" w:rsidP="006A2F78">
      <w:pPr>
        <w:pStyle w:val="ListParagraph"/>
        <w:numPr>
          <w:ilvl w:val="3"/>
          <w:numId w:val="15"/>
        </w:numPr>
        <w:tabs>
          <w:tab w:val="left" w:pos="2310"/>
        </w:tabs>
        <w:spacing w:line="270" w:lineRule="atLeast"/>
        <w:jc w:val="both"/>
        <w:rPr>
          <w:color w:val="000000"/>
        </w:rPr>
      </w:pPr>
      <w:r w:rsidRPr="006A2F78">
        <w:rPr>
          <w:color w:val="000000"/>
        </w:rPr>
        <w:t xml:space="preserve">Основни: </w:t>
      </w:r>
    </w:p>
    <w:p w:rsidR="00E13E37" w:rsidRPr="006A2F78" w:rsidRDefault="00E13E37" w:rsidP="006A2F78">
      <w:pPr>
        <w:pStyle w:val="ListParagraph"/>
        <w:numPr>
          <w:ilvl w:val="4"/>
          <w:numId w:val="15"/>
        </w:numPr>
        <w:tabs>
          <w:tab w:val="left" w:pos="2310"/>
        </w:tabs>
        <w:spacing w:line="270" w:lineRule="atLeast"/>
        <w:jc w:val="both"/>
        <w:rPr>
          <w:color w:val="000000"/>
        </w:rPr>
      </w:pPr>
      <w:r w:rsidRPr="006A2F78">
        <w:rPr>
          <w:color w:val="000000"/>
        </w:rPr>
        <w:t>първи по ред особен залог върху всички настоящи и бъдещи вземания на емитента по сключени от него договори и споразумения</w:t>
      </w:r>
    </w:p>
    <w:p w:rsidR="00E13E37" w:rsidRPr="006A2F78" w:rsidRDefault="00E13E37" w:rsidP="006A2F78">
      <w:pPr>
        <w:pStyle w:val="ListParagraph"/>
        <w:numPr>
          <w:ilvl w:val="4"/>
          <w:numId w:val="15"/>
        </w:numPr>
        <w:tabs>
          <w:tab w:val="left" w:pos="2310"/>
        </w:tabs>
        <w:spacing w:line="270" w:lineRule="atLeast"/>
        <w:jc w:val="both"/>
        <w:rPr>
          <w:color w:val="000000"/>
        </w:rPr>
      </w:pPr>
      <w:r w:rsidRPr="006A2F78">
        <w:rPr>
          <w:color w:val="000000"/>
        </w:rPr>
        <w:t>договор за реален залог с който е учреден първи по ред реален залог върху 240 хил. броя налични акции на „Нуртс Диджитъл” ЕАД – 100% от капитала.</w:t>
      </w:r>
    </w:p>
    <w:p w:rsidR="00E13E37" w:rsidRPr="006A2F78" w:rsidRDefault="00E13E37" w:rsidP="006A2F78">
      <w:pPr>
        <w:pStyle w:val="ListParagraph"/>
        <w:numPr>
          <w:ilvl w:val="3"/>
          <w:numId w:val="15"/>
        </w:numPr>
        <w:tabs>
          <w:tab w:val="left" w:pos="2310"/>
        </w:tabs>
        <w:spacing w:line="270" w:lineRule="atLeast"/>
        <w:jc w:val="both"/>
        <w:rPr>
          <w:color w:val="000000"/>
        </w:rPr>
      </w:pPr>
      <w:r w:rsidRPr="006A2F78">
        <w:rPr>
          <w:color w:val="000000"/>
        </w:rPr>
        <w:t>Допълващи:</w:t>
      </w:r>
    </w:p>
    <w:p w:rsidR="00E13E37" w:rsidRPr="006A2F78" w:rsidRDefault="00E13E37" w:rsidP="006A2F78">
      <w:pPr>
        <w:pStyle w:val="ListParagraph"/>
        <w:numPr>
          <w:ilvl w:val="4"/>
          <w:numId w:val="15"/>
        </w:numPr>
        <w:tabs>
          <w:tab w:val="left" w:pos="2310"/>
        </w:tabs>
        <w:spacing w:line="270" w:lineRule="atLeast"/>
        <w:jc w:val="both"/>
      </w:pPr>
      <w:r w:rsidRPr="006A2F78">
        <w:rPr>
          <w:color w:val="000000"/>
        </w:rPr>
        <w:t xml:space="preserve">първи по ред особен залог върху бъдещи вземания на „НУРТС БЪЛГАРИЯ” </w:t>
      </w:r>
      <w:r w:rsidRPr="006A2F78">
        <w:t>АД произтичащи от договори за доставка на услуги подписани след датата на сключване на облигационния заем.</w:t>
      </w:r>
    </w:p>
    <w:p w:rsidR="00E13E37" w:rsidRPr="006A2F78" w:rsidRDefault="00E13E37" w:rsidP="006A2F78">
      <w:pPr>
        <w:pStyle w:val="ListParagraph"/>
        <w:numPr>
          <w:ilvl w:val="4"/>
          <w:numId w:val="15"/>
        </w:numPr>
        <w:tabs>
          <w:tab w:val="left" w:pos="2310"/>
        </w:tabs>
        <w:spacing w:line="270" w:lineRule="atLeast"/>
        <w:jc w:val="both"/>
        <w:rPr>
          <w:color w:val="000000"/>
        </w:rPr>
      </w:pPr>
      <w:r w:rsidRPr="006A2F78">
        <w:t xml:space="preserve">първи по ред реален залог върху новоиздадени акции от капитала на </w:t>
      </w:r>
      <w:r w:rsidRPr="006A2F78">
        <w:rPr>
          <w:color w:val="000000"/>
        </w:rPr>
        <w:t xml:space="preserve">„Нуртс Диджитъл” ЕАД и/или „НУРТС БЪЛГАРИЯ” </w:t>
      </w:r>
      <w:r w:rsidRPr="006A2F78">
        <w:t xml:space="preserve">АД се задължава да осигури извършване на всички изискуеми правни и фактически действия от страна на </w:t>
      </w:r>
      <w:r w:rsidRPr="006A2F78">
        <w:rPr>
          <w:color w:val="000000"/>
        </w:rPr>
        <w:t>„Нуртс Диджитъл” ЕАД в резултат на които то да учреди първи по ред особени залози върху свой настоящи и/или бъдещи вземания произтичащи от договори за доставка на услуги подписани от дружеството след датата на сключване на облигационния заем.</w:t>
      </w:r>
    </w:p>
    <w:p w:rsidR="00E13E37" w:rsidRPr="006A2F78" w:rsidRDefault="00E13E37" w:rsidP="00AF1648">
      <w:pPr>
        <w:spacing w:line="270" w:lineRule="atLeast"/>
        <w:ind w:firstLine="851"/>
        <w:jc w:val="both"/>
        <w:rPr>
          <w:color w:val="000000"/>
        </w:rPr>
      </w:pPr>
    </w:p>
    <w:p w:rsidR="00E13E37" w:rsidRPr="00E9124B" w:rsidRDefault="00E13E37" w:rsidP="00AF1648">
      <w:pPr>
        <w:spacing w:line="270" w:lineRule="atLeast"/>
        <w:ind w:firstLine="851"/>
        <w:jc w:val="both"/>
        <w:rPr>
          <w:b/>
          <w:bCs/>
          <w:i/>
          <w:iCs/>
          <w:color w:val="000000"/>
          <w:u w:val="single"/>
        </w:rPr>
      </w:pPr>
      <w:r w:rsidRPr="00E9124B">
        <w:rPr>
          <w:b/>
          <w:bCs/>
          <w:i/>
          <w:iCs/>
          <w:color w:val="000000"/>
          <w:u w:val="single"/>
        </w:rPr>
        <w:t>След допускането на емисията на регулиран пазар от КФН са извършвани всички дължими плащания по емисията към ноември 2014 г.</w:t>
      </w:r>
    </w:p>
    <w:p w:rsidR="00E13E37" w:rsidRPr="006A2F78" w:rsidRDefault="00E13E37" w:rsidP="00AF1648">
      <w:pPr>
        <w:spacing w:line="270" w:lineRule="atLeast"/>
        <w:ind w:firstLine="851"/>
        <w:jc w:val="both"/>
        <w:rPr>
          <w:color w:val="000000"/>
        </w:rPr>
      </w:pPr>
    </w:p>
    <w:p w:rsidR="00E13E37" w:rsidRPr="006A2F78" w:rsidRDefault="00E13E37" w:rsidP="00AF1648">
      <w:pPr>
        <w:spacing w:line="270" w:lineRule="atLeast"/>
        <w:ind w:firstLine="851"/>
        <w:jc w:val="both"/>
        <w:rPr>
          <w:color w:val="000000"/>
        </w:rPr>
      </w:pPr>
      <w:r w:rsidRPr="006A2F78">
        <w:t>Към момента част от облигациите са собственост на „КТБ” АД, а именно - 25 723 бр. или 64,31%,</w:t>
      </w:r>
      <w:r w:rsidRPr="006A2F78">
        <w:rPr>
          <w:color w:val="000000"/>
        </w:rPr>
        <w:t xml:space="preserve"> като последната покупка е на 16.06.2014 г., когато КТБ АД купува 1 219 броя облигации от емисията на „НУРТС БЪЛГАРИЯ” </w:t>
      </w:r>
      <w:r w:rsidRPr="006A2F78">
        <w:t>АД на стойност 1 235 862 лева.</w:t>
      </w:r>
    </w:p>
    <w:p w:rsidR="00E13E37" w:rsidRPr="006A2F78" w:rsidRDefault="00E13E37" w:rsidP="00AF1648">
      <w:pPr>
        <w:tabs>
          <w:tab w:val="left" w:pos="2310"/>
        </w:tabs>
        <w:spacing w:line="270" w:lineRule="atLeast"/>
        <w:ind w:firstLine="851"/>
        <w:jc w:val="both"/>
      </w:pPr>
      <w:r w:rsidRPr="006A2F78">
        <w:rPr>
          <w:color w:val="000000"/>
        </w:rPr>
        <w:t xml:space="preserve">В момента има спор дали притежаваните от </w:t>
      </w:r>
      <w:r w:rsidRPr="006A2F78">
        <w:t>„КТБ” АД</w:t>
      </w:r>
      <w:r w:rsidRPr="006A2F78">
        <w:rPr>
          <w:color w:val="000000"/>
        </w:rPr>
        <w:t xml:space="preserve"> облигации са изплатени, доколкото има направено изявление (включително представена в КФН информация) за прихващане от страна на „НУРТС БЪЛГАРИЯ” </w:t>
      </w:r>
      <w:r w:rsidRPr="006A2F78">
        <w:t>АД.</w:t>
      </w:r>
    </w:p>
    <w:p w:rsidR="00E13E37" w:rsidRPr="006A2F78" w:rsidRDefault="00E13E37" w:rsidP="00AF1648">
      <w:pPr>
        <w:tabs>
          <w:tab w:val="left" w:pos="2310"/>
        </w:tabs>
        <w:spacing w:line="270" w:lineRule="atLeast"/>
        <w:ind w:firstLine="851"/>
        <w:jc w:val="both"/>
        <w:rPr>
          <w:color w:val="000000"/>
        </w:rPr>
      </w:pPr>
      <w:r w:rsidRPr="006A2F78">
        <w:rPr>
          <w:color w:val="000000"/>
        </w:rPr>
        <w:t>Останалите облигации са притежание на „БТК” ЕАД.</w:t>
      </w:r>
    </w:p>
    <w:p w:rsidR="00E13E37" w:rsidRPr="006A2F78" w:rsidRDefault="00E13E37" w:rsidP="00AF1648">
      <w:pPr>
        <w:tabs>
          <w:tab w:val="left" w:pos="2310"/>
        </w:tabs>
        <w:spacing w:line="270" w:lineRule="atLeast"/>
        <w:ind w:firstLine="851"/>
        <w:jc w:val="both"/>
      </w:pPr>
      <w:r w:rsidRPr="006A2F78">
        <w:t>Съгласно оповестената информация в бел. 28 към отчета за трето тримесечие на 2014 г. (стр.31) през м. септември 2014 г. БТК ЕАД е внесла уведомление в КЗК, с което заявява желанието си за придобиване на групата на „</w:t>
      </w:r>
      <w:r w:rsidRPr="006A2F78">
        <w:rPr>
          <w:color w:val="000000"/>
        </w:rPr>
        <w:t xml:space="preserve">НУРТС БЪЛГАРИЯ” </w:t>
      </w:r>
      <w:r w:rsidRPr="006A2F78">
        <w:t xml:space="preserve">АД. Към датата на съставяне на отчета за трето тримесечие  на 2014 г. КЗК не е излязла със становище по заявлението на БТК АД. </w:t>
      </w:r>
    </w:p>
    <w:p w:rsidR="00E13E37" w:rsidRPr="006A2F78" w:rsidRDefault="00E13E37" w:rsidP="00AF1648">
      <w:pPr>
        <w:tabs>
          <w:tab w:val="left" w:pos="2310"/>
        </w:tabs>
        <w:spacing w:line="270" w:lineRule="atLeast"/>
        <w:ind w:firstLine="851"/>
        <w:jc w:val="both"/>
      </w:pPr>
      <w:r w:rsidRPr="006A2F78">
        <w:t xml:space="preserve">На 11.12.2014 г. на официалната страница на КЗК е публикувана информация – </w:t>
      </w:r>
      <w:r w:rsidRPr="006A2F78">
        <w:rPr>
          <w:i/>
          <w:iCs/>
        </w:rPr>
        <w:t xml:space="preserve">„КЗК постанови, че започва задълбочено проучване по реда на чл.83 от ЗЗК , във връзка с намерението на БТК ЕАД да придобие пряк едноличен контрол върху </w:t>
      </w:r>
      <w:r w:rsidRPr="006A2F78">
        <w:rPr>
          <w:i/>
          <w:iCs/>
          <w:color w:val="000000"/>
        </w:rPr>
        <w:t xml:space="preserve">НУРТС БЪЛГАРИЯ </w:t>
      </w:r>
      <w:r w:rsidRPr="006A2F78">
        <w:rPr>
          <w:i/>
          <w:iCs/>
        </w:rPr>
        <w:t>АД”.</w:t>
      </w:r>
      <w:r w:rsidRPr="006A2F78">
        <w:t xml:space="preserve"> </w:t>
      </w:r>
    </w:p>
    <w:p w:rsidR="00E13E37" w:rsidRPr="006A2F78" w:rsidRDefault="00E13E37" w:rsidP="00AF1648">
      <w:pPr>
        <w:tabs>
          <w:tab w:val="left" w:pos="2310"/>
        </w:tabs>
        <w:spacing w:line="270" w:lineRule="atLeast"/>
        <w:ind w:firstLine="851"/>
        <w:jc w:val="both"/>
        <w:rPr>
          <w:color w:val="000000"/>
        </w:rPr>
      </w:pPr>
    </w:p>
    <w:p w:rsidR="00E13E37" w:rsidRPr="006A2F78" w:rsidRDefault="00E13E37" w:rsidP="006A2F78">
      <w:pPr>
        <w:pStyle w:val="Heading5"/>
      </w:pPr>
      <w:r w:rsidRPr="006A2F78">
        <w:t>„ТЦ-ИМЕ” АД</w:t>
      </w:r>
    </w:p>
    <w:p w:rsidR="00E13E37" w:rsidRPr="006A2F78" w:rsidRDefault="00E13E37" w:rsidP="00AF1648">
      <w:pPr>
        <w:tabs>
          <w:tab w:val="left" w:pos="2310"/>
        </w:tabs>
        <w:spacing w:line="270" w:lineRule="atLeast"/>
        <w:ind w:firstLine="851"/>
        <w:jc w:val="both"/>
        <w:rPr>
          <w:color w:val="000000"/>
        </w:rPr>
      </w:pPr>
      <w:r w:rsidRPr="006A2F78">
        <w:t xml:space="preserve">С Решение </w:t>
      </w:r>
      <w:r w:rsidRPr="006A2F78">
        <w:rPr>
          <w:color w:val="000000"/>
        </w:rPr>
        <w:t>335-Е от 27.05.2010 г., КФН потвърждава проспект за допускане до търговия на регулиран пазар на емисия корпоративни обезпечени облигации, издадени от „Технологичен център - Институт по микроелектроника /ТЦ-ИМЕ/” АД, гр. София, в размер на 15 000 000 (петнадесет милиона) евро, разпределени в 15 000 (петнадесет хиляди) броя обикновени, лихвоносни, безналични, поименни, свободнопрехвърляеми, обезпечени облигации, ISIN код BG2100040093, с фиксирана лихва в размер на 8 %, с номинална и емисионна стойност 1000 евро всяка, с лихвени плащания на всеки 12-месечен период, със срок на облигационния заем 5 години, считано от 29.09.2009 г., с падеж 29.09.2014 г.</w:t>
      </w:r>
    </w:p>
    <w:p w:rsidR="00E13E37" w:rsidRPr="006A2F78" w:rsidRDefault="00E13E37" w:rsidP="00AF1648">
      <w:pPr>
        <w:tabs>
          <w:tab w:val="left" w:pos="720"/>
        </w:tabs>
        <w:ind w:firstLine="851"/>
        <w:jc w:val="both"/>
        <w:rPr>
          <w:b/>
          <w:bCs/>
          <w:color w:val="000000"/>
          <w:u w:val="single"/>
        </w:rPr>
      </w:pPr>
      <w:r w:rsidRPr="006A2F78">
        <w:rPr>
          <w:b/>
          <w:bCs/>
          <w:color w:val="000000"/>
          <w:u w:val="single"/>
        </w:rPr>
        <w:t xml:space="preserve">Цел на облигационния заем: </w:t>
      </w:r>
    </w:p>
    <w:p w:rsidR="00E13E37" w:rsidRPr="006A2F78" w:rsidRDefault="00E13E37" w:rsidP="00AF1648">
      <w:pPr>
        <w:tabs>
          <w:tab w:val="left" w:pos="720"/>
        </w:tabs>
        <w:ind w:firstLine="851"/>
        <w:jc w:val="both"/>
        <w:rPr>
          <w:color w:val="000000"/>
        </w:rPr>
      </w:pPr>
      <w:r w:rsidRPr="006A2F78">
        <w:rPr>
          <w:color w:val="000000"/>
        </w:rPr>
        <w:t xml:space="preserve">Набраните от емисията средства се използват от емитента „ТЦ-ИМЕ” </w:t>
      </w:r>
      <w:r w:rsidRPr="006A2F78">
        <w:t>АД</w:t>
      </w:r>
      <w:r w:rsidRPr="006A2F78">
        <w:rPr>
          <w:color w:val="000000"/>
        </w:rPr>
        <w:t xml:space="preserve"> за придобиване от „СЕНТРЪЛ ТЕХНО ДИВЕЛЪПМЪНТ 2” ЕАД, на следните недвижими имоти:</w:t>
      </w:r>
    </w:p>
    <w:p w:rsidR="00E13E37" w:rsidRPr="006A2F78" w:rsidRDefault="00E13E37" w:rsidP="00AF1648">
      <w:pPr>
        <w:numPr>
          <w:ilvl w:val="0"/>
          <w:numId w:val="3"/>
        </w:numPr>
        <w:tabs>
          <w:tab w:val="clear" w:pos="180"/>
        </w:tabs>
        <w:ind w:left="0" w:firstLine="851"/>
        <w:jc w:val="both"/>
        <w:rPr>
          <w:color w:val="000000"/>
        </w:rPr>
      </w:pPr>
      <w:r w:rsidRPr="006A2F78">
        <w:rPr>
          <w:color w:val="000000"/>
        </w:rPr>
        <w:t xml:space="preserve">УПИ № XV 1416, отреден за „офиси, жилища, ателиета магазини и КО”, от квартал №8а, по регулационния план на гр. София, местност „Задгарова артерия”, целият с площ 27 803 кв.м. и </w:t>
      </w:r>
    </w:p>
    <w:p w:rsidR="00E13E37" w:rsidRPr="006A2F78" w:rsidRDefault="00E13E37" w:rsidP="00AF1648">
      <w:pPr>
        <w:numPr>
          <w:ilvl w:val="0"/>
          <w:numId w:val="3"/>
        </w:numPr>
        <w:tabs>
          <w:tab w:val="clear" w:pos="180"/>
          <w:tab w:val="left" w:pos="-6096"/>
        </w:tabs>
        <w:ind w:left="0" w:firstLine="851"/>
        <w:jc w:val="both"/>
        <w:rPr>
          <w:color w:val="000000"/>
        </w:rPr>
      </w:pPr>
      <w:r w:rsidRPr="006A2F78">
        <w:rPr>
          <w:color w:val="000000"/>
        </w:rPr>
        <w:t>УПИ № XІV 1416V1-1415, отреден за „офиси, жилища, ателиета магазини и КО”, от квартал №8а, по регулационния план на гр. София, местност „Задгарова артерия” целият с площ 31 351 кв.м.;</w:t>
      </w:r>
    </w:p>
    <w:p w:rsidR="00E13E37" w:rsidRPr="006A2F78" w:rsidRDefault="00E13E37" w:rsidP="00AF1648">
      <w:pPr>
        <w:tabs>
          <w:tab w:val="left" w:pos="2535"/>
        </w:tabs>
        <w:ind w:firstLine="851"/>
        <w:jc w:val="both"/>
        <w:rPr>
          <w:b/>
          <w:bCs/>
          <w:color w:val="000000"/>
          <w:u w:val="single"/>
        </w:rPr>
      </w:pPr>
      <w:r w:rsidRPr="006A2F78">
        <w:rPr>
          <w:b/>
          <w:bCs/>
          <w:color w:val="000000"/>
          <w:u w:val="single"/>
        </w:rPr>
        <w:t>Обезпечение:</w:t>
      </w:r>
    </w:p>
    <w:p w:rsidR="00E13E37" w:rsidRPr="006A2F78" w:rsidRDefault="00E13E37" w:rsidP="00AF1648">
      <w:pPr>
        <w:ind w:firstLine="851"/>
        <w:jc w:val="both"/>
        <w:rPr>
          <w:color w:val="000000"/>
        </w:rPr>
      </w:pPr>
      <w:r w:rsidRPr="006A2F78">
        <w:rPr>
          <w:color w:val="000000"/>
        </w:rPr>
        <w:t xml:space="preserve">За обезпечаване на погасяването на всички вземания на облигационерите по заема и вноските по емисията  ТЦ-ИМЕ </w:t>
      </w:r>
      <w:r w:rsidRPr="006A2F78">
        <w:t>АД</w:t>
      </w:r>
      <w:r w:rsidRPr="006A2F78">
        <w:rPr>
          <w:color w:val="000000"/>
        </w:rPr>
        <w:t xml:space="preserve">  е учредило в полза на банката довереник „ОББ” АД следните обезпечения:</w:t>
      </w:r>
    </w:p>
    <w:p w:rsidR="00E13E37" w:rsidRPr="008461A6" w:rsidRDefault="00E13E37" w:rsidP="008461A6">
      <w:pPr>
        <w:pStyle w:val="ListParagraph"/>
        <w:numPr>
          <w:ilvl w:val="0"/>
          <w:numId w:val="17"/>
        </w:numPr>
        <w:tabs>
          <w:tab w:val="left" w:pos="2535"/>
        </w:tabs>
        <w:jc w:val="both"/>
        <w:rPr>
          <w:color w:val="000000"/>
        </w:rPr>
      </w:pPr>
      <w:r w:rsidRPr="008461A6">
        <w:rPr>
          <w:color w:val="000000"/>
        </w:rPr>
        <w:t>Първи поред договорни ипотеки върху следните свои собствени недвижими имоти:</w:t>
      </w:r>
    </w:p>
    <w:p w:rsidR="00E13E37" w:rsidRPr="008461A6" w:rsidRDefault="00E13E37" w:rsidP="008461A6">
      <w:pPr>
        <w:pStyle w:val="ListParagraph"/>
        <w:numPr>
          <w:ilvl w:val="1"/>
          <w:numId w:val="17"/>
        </w:numPr>
        <w:jc w:val="both"/>
        <w:rPr>
          <w:color w:val="000000"/>
        </w:rPr>
      </w:pPr>
      <w:r w:rsidRPr="008461A6">
        <w:rPr>
          <w:color w:val="000000"/>
        </w:rPr>
        <w:t xml:space="preserve">1.УПИ № XV 1416, отреден за „офиси, жилища, ателиета магазини и КО”, от квартал № 8а, по регулационния план на гр. София, местност „Задгарова артерия”, целият с площ 27 803 кв.м. и </w:t>
      </w:r>
    </w:p>
    <w:p w:rsidR="00E13E37" w:rsidRPr="008461A6" w:rsidRDefault="00E13E37" w:rsidP="008461A6">
      <w:pPr>
        <w:pStyle w:val="ListParagraph"/>
        <w:numPr>
          <w:ilvl w:val="1"/>
          <w:numId w:val="17"/>
        </w:numPr>
        <w:tabs>
          <w:tab w:val="left" w:pos="720"/>
        </w:tabs>
        <w:jc w:val="both"/>
        <w:rPr>
          <w:color w:val="000000"/>
        </w:rPr>
      </w:pPr>
      <w:r w:rsidRPr="008461A6">
        <w:rPr>
          <w:color w:val="000000"/>
        </w:rPr>
        <w:t>2.УПИ № XІV 1416V1, отреден за „офиси, жилища, ателиета магазини и КО”, от квартал № 8а, по регулационния план на гр. София, местност „Задгарова артерия” целият с площ 31 351 кв.м.;</w:t>
      </w:r>
    </w:p>
    <w:p w:rsidR="00E13E37" w:rsidRPr="008461A6" w:rsidRDefault="00E13E37" w:rsidP="008461A6">
      <w:pPr>
        <w:pStyle w:val="ListParagraph"/>
        <w:numPr>
          <w:ilvl w:val="1"/>
          <w:numId w:val="17"/>
        </w:numPr>
        <w:tabs>
          <w:tab w:val="left" w:pos="720"/>
        </w:tabs>
        <w:jc w:val="both"/>
        <w:rPr>
          <w:color w:val="000000"/>
        </w:rPr>
      </w:pPr>
      <w:r w:rsidRPr="008461A6">
        <w:rPr>
          <w:color w:val="000000"/>
        </w:rPr>
        <w:t xml:space="preserve">При евентуална продажба на горепосочените имоти или обособени части от тях, средствата по продажба ще постъпят първоначално в сметка със специален режим на предназначение в „ОББ” АД. Като средствата от продажбата ще останат в посочената сметка докато бъде подадена молба – съгласие  от страна на банката за заличаване на учреденото в нейна полза обезпечение- първа по ред ипотека върху недвижим имот, предмет на продажба. </w:t>
      </w:r>
      <w:r w:rsidRPr="008461A6">
        <w:rPr>
          <w:color w:val="000000"/>
        </w:rPr>
        <w:tab/>
      </w:r>
    </w:p>
    <w:p w:rsidR="00E13E37" w:rsidRPr="008461A6" w:rsidRDefault="00E13E37" w:rsidP="008461A6">
      <w:pPr>
        <w:pStyle w:val="ListParagraph"/>
        <w:numPr>
          <w:ilvl w:val="0"/>
          <w:numId w:val="17"/>
        </w:numPr>
        <w:tabs>
          <w:tab w:val="left" w:pos="720"/>
        </w:tabs>
        <w:jc w:val="both"/>
        <w:rPr>
          <w:color w:val="000000"/>
        </w:rPr>
      </w:pPr>
      <w:r w:rsidRPr="008461A6">
        <w:rPr>
          <w:color w:val="000000"/>
        </w:rPr>
        <w:t xml:space="preserve">Първи по ред особен залог на всички свои настоящи и бъдещи вземания на парични средства по разплащателната сметка в евро, в която сметка със специален режим и предназначение ще постъпят средствата от евентуална продажба на гореописаните имоти или обособени части от тях, като тези средства ще бъдат блокирани по тази сметка (наречено заместващо покритие). Емитентът е открил разплащателна сметка в посочената банка.  </w:t>
      </w:r>
    </w:p>
    <w:p w:rsidR="00E13E37" w:rsidRPr="006A2F78" w:rsidRDefault="00E13E37" w:rsidP="00AF1648">
      <w:pPr>
        <w:ind w:firstLine="851"/>
        <w:jc w:val="both"/>
        <w:rPr>
          <w:b/>
          <w:bCs/>
        </w:rPr>
      </w:pPr>
    </w:p>
    <w:p w:rsidR="00E13E37" w:rsidRPr="006A2F78" w:rsidRDefault="00E13E37" w:rsidP="00AF1648">
      <w:pPr>
        <w:ind w:firstLine="851"/>
        <w:jc w:val="both"/>
        <w:rPr>
          <w:u w:val="single"/>
        </w:rPr>
      </w:pPr>
      <w:r w:rsidRPr="006A2F78">
        <w:rPr>
          <w:b/>
          <w:bCs/>
        </w:rPr>
        <w:t>Акционери</w:t>
      </w:r>
      <w:r w:rsidRPr="006A2F78">
        <w:t xml:space="preserve"> имащи право да участват в редовното годишно общо събрание на акционерите на „ТЦ-ИМЕ”</w:t>
      </w:r>
      <w:r w:rsidRPr="006A2F78">
        <w:rPr>
          <w:color w:val="000000"/>
        </w:rPr>
        <w:t xml:space="preserve"> АД, проведено на 24.04.2012 г., както и на това проведено на 22.03.2013 г. съгласно обявените списъци на акционерите присъстващи на събранията на „ТЦ-ИМЕ” АД са:</w:t>
      </w:r>
    </w:p>
    <w:p w:rsidR="00E13E37" w:rsidRPr="006A2F78" w:rsidRDefault="00E13E37" w:rsidP="008461A6">
      <w:pPr>
        <w:pStyle w:val="ListParagraph"/>
        <w:numPr>
          <w:ilvl w:val="3"/>
          <w:numId w:val="18"/>
        </w:numPr>
        <w:spacing w:line="276" w:lineRule="auto"/>
        <w:jc w:val="both"/>
      </w:pPr>
      <w:r w:rsidRPr="006A2F78">
        <w:t xml:space="preserve">„КЕНТ ТРЕЙД” ЕАД, гр. София - 61 200 000 броя акции или  46,19 % от капитала представлявано от Людмила Георгиева Петрова, със Съвет на Директорите - Людмила Георгиева Петрова, Теодора Петрова Танева и Веска Иванова Зарева (Едноличен собственик на капитала на КЕНТ ТРЕЙД ЕАД е ТРЕЛЕКС ИНВЕСТМЪНТС, КИПЪР ) </w:t>
      </w:r>
    </w:p>
    <w:p w:rsidR="00E13E37" w:rsidRPr="006A2F78" w:rsidRDefault="00E13E37" w:rsidP="008461A6">
      <w:pPr>
        <w:pStyle w:val="ListParagraph"/>
        <w:numPr>
          <w:ilvl w:val="3"/>
          <w:numId w:val="18"/>
        </w:numPr>
        <w:spacing w:line="276" w:lineRule="auto"/>
        <w:jc w:val="both"/>
      </w:pPr>
      <w:r w:rsidRPr="006A2F78">
        <w:t>„И ЕФ ВИ ИНТЪРНЕШЪНЪЛ ФАЙНЕНШЪЛ ВЕНЧЪРС ЛИМИТИД” (EFV International Financial Venture Ltd.), дружествен номер 345007, Британски Вирджински острови, корпоративен директор Джарго Лимитид – притежаващо 58 800 000 броя акции или  44,38 % от капитала</w:t>
      </w:r>
    </w:p>
    <w:p w:rsidR="00E13E37" w:rsidRPr="006A2F78" w:rsidRDefault="00E13E37" w:rsidP="008461A6">
      <w:pPr>
        <w:pStyle w:val="ListParagraph"/>
        <w:numPr>
          <w:ilvl w:val="3"/>
          <w:numId w:val="18"/>
        </w:numPr>
        <w:spacing w:line="276" w:lineRule="auto"/>
        <w:jc w:val="both"/>
      </w:pPr>
      <w:r w:rsidRPr="006A2F78">
        <w:t>„КТБ” АД - 12 500 000 броя акции или  9,43 % от капитала</w:t>
      </w:r>
    </w:p>
    <w:p w:rsidR="00E13E37" w:rsidRPr="006A2F78" w:rsidRDefault="00E13E37" w:rsidP="00AF1648">
      <w:pPr>
        <w:tabs>
          <w:tab w:val="left" w:pos="2520"/>
        </w:tabs>
        <w:ind w:firstLine="851"/>
      </w:pPr>
    </w:p>
    <w:p w:rsidR="00E13E37" w:rsidRPr="006A2F78" w:rsidRDefault="00E13E37" w:rsidP="00AF1648">
      <w:pPr>
        <w:tabs>
          <w:tab w:val="left" w:pos="2310"/>
        </w:tabs>
        <w:spacing w:line="270" w:lineRule="atLeast"/>
        <w:ind w:firstLine="851"/>
        <w:jc w:val="both"/>
        <w:rPr>
          <w:color w:val="000000"/>
        </w:rPr>
      </w:pPr>
      <w:r w:rsidRPr="006A2F78">
        <w:t>В проспекта е оповестена изискуемата съгласно ЗППЦК и Регламент № 809/2004 информация по отношение на дружеството и ценните книжа.</w:t>
      </w:r>
    </w:p>
    <w:p w:rsidR="00E13E37" w:rsidRPr="006A2F78" w:rsidRDefault="00E13E37" w:rsidP="00AF1648">
      <w:pPr>
        <w:ind w:firstLine="851"/>
        <w:jc w:val="both"/>
      </w:pPr>
      <w:r w:rsidRPr="006A2F78">
        <w:t>На 04.11.2014 г. е проведено общото събрание на облигационерите от емисия корпоративни облигации с ISIN код BG 2100022099, издадени от  „ТЦ-ИМЕ” АД.</w:t>
      </w:r>
    </w:p>
    <w:p w:rsidR="00E13E37" w:rsidRPr="006A2F78" w:rsidRDefault="00E13E37" w:rsidP="00AF1648">
      <w:pPr>
        <w:ind w:firstLine="851"/>
        <w:jc w:val="both"/>
        <w:rPr>
          <w:b/>
          <w:bCs/>
          <w:i/>
          <w:iCs/>
        </w:rPr>
      </w:pPr>
      <w:r w:rsidRPr="006A2F78">
        <w:rPr>
          <w:b/>
          <w:bCs/>
          <w:i/>
          <w:iCs/>
        </w:rPr>
        <w:t xml:space="preserve">ОС на облигационерите приема решение за предоговаряне на условията на емисията корпоративни облигации с ISIN код BG 2100022099, като дава съгласие за удължаване с 12 месеца на срока за плащане на дължимата на 29.09.2014 г. главница и лихва по емисия корпоративни облигации, като емитента следва да погаси главницата по емисията корпоративни облигации не по-късно от 29.09.2015 г. Решението е прието като са гласували „ЗА” 10178 броя или 93.2 % от представените облигации.   </w:t>
      </w:r>
    </w:p>
    <w:p w:rsidR="00E13E37" w:rsidRPr="006A2F78" w:rsidRDefault="00E13E37" w:rsidP="00AF1648">
      <w:pPr>
        <w:ind w:firstLine="851"/>
        <w:jc w:val="both"/>
      </w:pPr>
      <w:r w:rsidRPr="006A2F78">
        <w:t>Приет е нов актуален погасителен план за погасяване на лихва за редовна главница по емисия корпоративни облигации</w:t>
      </w:r>
      <w:r w:rsidRPr="006A2F78">
        <w:rPr>
          <w:b/>
          <w:bCs/>
        </w:rPr>
        <w:t xml:space="preserve"> </w:t>
      </w:r>
      <w:r w:rsidRPr="006A2F78">
        <w:t>с ISIN код BG 2100022099, емитирани от „ТЦ-ИМЕ” АД, както следва: дата на плащане 29.09.2015 г., лихвен процент  8.25 %, лихвено плащане на EUR 1 237 000, плащане на главница 15 000 000, общ паричен паток EUR 16 237 000.  По отношение на дължимото и просрочено към 29.09.2014 г. лихвено плащане  до пълното му погасяване се дължи законна лихва за забава</w:t>
      </w:r>
      <w:r w:rsidRPr="006A2F78">
        <w:rPr>
          <w:i/>
          <w:iCs/>
        </w:rPr>
        <w:t>. Решението е прието</w:t>
      </w:r>
      <w:r w:rsidRPr="006A2F78">
        <w:t xml:space="preserve"> като са гласували „ЗА” 9 595 броя или 87.8 % от представените облигации.</w:t>
      </w:r>
      <w:r>
        <w:t xml:space="preserve"> </w:t>
      </w:r>
      <w:r w:rsidRPr="00E9124B">
        <w:rPr>
          <w:b/>
          <w:bCs/>
        </w:rPr>
        <w:t>Стойността на обезпечението по облигационната емисия е над 100% от дължимото по емисията.</w:t>
      </w:r>
      <w:r>
        <w:rPr>
          <w:b/>
          <w:bCs/>
        </w:rPr>
        <w:t xml:space="preserve"> Емисията се обслужва редовно, съгласно приетия от облигационерите погасителен план.</w:t>
      </w:r>
    </w:p>
    <w:p w:rsidR="00E13E37" w:rsidRPr="006A2F78" w:rsidRDefault="00E13E37" w:rsidP="00AF1648">
      <w:pPr>
        <w:ind w:firstLine="851"/>
        <w:jc w:val="both"/>
        <w:rPr>
          <w:b/>
          <w:bCs/>
          <w:color w:val="000000"/>
        </w:rPr>
      </w:pPr>
      <w:r w:rsidRPr="006A2F78">
        <w:t>Към днешна дата „КТБ” АД притежава 4 бр. облигации от емитираната от „</w:t>
      </w:r>
      <w:r w:rsidRPr="006A2F78">
        <w:rPr>
          <w:color w:val="000000"/>
        </w:rPr>
        <w:t>ТЦ-ИМЕ” АД</w:t>
      </w:r>
      <w:r w:rsidRPr="006A2F78">
        <w:t xml:space="preserve"> облигационна емисия.</w:t>
      </w:r>
    </w:p>
    <w:p w:rsidR="00E13E37" w:rsidRPr="006A2F78" w:rsidRDefault="00E13E37" w:rsidP="00AF1648">
      <w:pPr>
        <w:ind w:firstLine="851"/>
        <w:jc w:val="both"/>
      </w:pPr>
    </w:p>
    <w:p w:rsidR="00E13E37" w:rsidRPr="006A2F78" w:rsidRDefault="00E13E37" w:rsidP="008461A6">
      <w:pPr>
        <w:pStyle w:val="Heading5"/>
      </w:pPr>
      <w:r w:rsidRPr="006A2F78">
        <w:t xml:space="preserve">„ХЕЛТ ЕНД УЕЛНЕС” АДСИЦ </w:t>
      </w:r>
    </w:p>
    <w:p w:rsidR="00E13E37" w:rsidRPr="006A2F78" w:rsidRDefault="00E13E37" w:rsidP="00AF1648">
      <w:pPr>
        <w:tabs>
          <w:tab w:val="left" w:pos="0"/>
          <w:tab w:val="left" w:pos="720"/>
        </w:tabs>
        <w:ind w:firstLine="851"/>
        <w:jc w:val="both"/>
      </w:pPr>
      <w:r w:rsidRPr="006A2F78">
        <w:t xml:space="preserve">С Решение 1157-ДСИЦ от 29.11.2006 г., КФН издава лиценз на </w:t>
      </w:r>
      <w:r w:rsidRPr="006A2F78">
        <w:rPr>
          <w:color w:val="000000"/>
        </w:rPr>
        <w:t>„Хелт енд Уелнес” АДСИЦ</w:t>
      </w:r>
      <w:r w:rsidRPr="006A2F78">
        <w:t xml:space="preserve">, София за извършване на дейност като дружество със специална инвестиционна цел посредством инвестиране на парични средства, набрани чрез издаване на ценни книжа, в недвижими имоти (секюритизация на недвижими имоти). </w:t>
      </w:r>
    </w:p>
    <w:p w:rsidR="00E13E37" w:rsidRPr="006A2F78" w:rsidRDefault="00E13E37" w:rsidP="00AF1648">
      <w:pPr>
        <w:tabs>
          <w:tab w:val="left" w:pos="0"/>
          <w:tab w:val="left" w:pos="720"/>
        </w:tabs>
        <w:ind w:firstLine="851"/>
        <w:jc w:val="both"/>
        <w:rPr>
          <w:color w:val="000000"/>
        </w:rPr>
      </w:pPr>
      <w:r w:rsidRPr="006A2F78">
        <w:t>С Решение 854</w:t>
      </w:r>
      <w:r w:rsidRPr="006A2F78">
        <w:rPr>
          <w:color w:val="000000"/>
        </w:rPr>
        <w:t>-Е от 19.10.2009 г., КФН потвърждава проспект за допускане до търговия на регулиран пазар на емисия корпоративни облигации в размер на 15 000 000 евро, разпределени в 15 000 броя обикновени, поименни, безналични, лихвоносни, свободно прехвърляеми, неконвертируеми, обезпечени облигации, с номинална стойност 1 000 евро всяка, с ISIN код BG 2100005094, с фиксирана лихва в размер на 8.50 % годишно, дванадесет месечен период на лихвени плащания, равни по размер, срок на облигационния заем - 5 години, считано от 17.03.2009 г. и с дата на падежа 17.03.2014 г., издадени от „Хелт енд Уелнес” АДСИЦ, гр. София.</w:t>
      </w:r>
    </w:p>
    <w:p w:rsidR="00E13E37" w:rsidRPr="006A2F78" w:rsidRDefault="00E13E37" w:rsidP="00AF1648">
      <w:pPr>
        <w:tabs>
          <w:tab w:val="left" w:pos="720"/>
        </w:tabs>
        <w:ind w:firstLine="851"/>
        <w:jc w:val="both"/>
        <w:rPr>
          <w:color w:val="000000"/>
        </w:rPr>
      </w:pPr>
      <w:r w:rsidRPr="006A2F78">
        <w:rPr>
          <w:color w:val="000000"/>
        </w:rPr>
        <w:t>Съгласно условията, при които са издадени облигациите и одобрения Проспект</w:t>
      </w:r>
      <w:r w:rsidRPr="006A2F78">
        <w:rPr>
          <w:b/>
          <w:bCs/>
          <w:color w:val="000000"/>
        </w:rPr>
        <w:t xml:space="preserve"> </w:t>
      </w:r>
      <w:r w:rsidRPr="006A2F78">
        <w:rPr>
          <w:color w:val="000000"/>
        </w:rPr>
        <w:t xml:space="preserve">за допускане на емисията облигации до търговия на регулиран пазар, „Хелт енд Уелнес” </w:t>
      </w:r>
      <w:r w:rsidRPr="006A2F78">
        <w:t>АДСИЦ е инвестирало набраните от облигационния заем средства в закупуване на недвижими имоти</w:t>
      </w:r>
      <w:r w:rsidRPr="006A2F78">
        <w:rPr>
          <w:color w:val="000000"/>
        </w:rPr>
        <w:t>.</w:t>
      </w:r>
    </w:p>
    <w:p w:rsidR="00E13E37" w:rsidRPr="006A2F78" w:rsidRDefault="00E13E37" w:rsidP="00AF1648">
      <w:pPr>
        <w:tabs>
          <w:tab w:val="left" w:pos="720"/>
        </w:tabs>
        <w:ind w:firstLine="851"/>
        <w:jc w:val="both"/>
        <w:rPr>
          <w:color w:val="000000"/>
        </w:rPr>
      </w:pPr>
      <w:r w:rsidRPr="006A2F78">
        <w:t>В проспекта е оповестена изискуемата съгласно ЗППЦК и Регламент № 809/2004 информация по отношение на дружеството и ценните книжа.</w:t>
      </w:r>
    </w:p>
    <w:p w:rsidR="00E13E37" w:rsidRPr="006A2F78" w:rsidRDefault="00E13E37" w:rsidP="00AF1648">
      <w:pPr>
        <w:tabs>
          <w:tab w:val="left" w:pos="2520"/>
        </w:tabs>
        <w:ind w:firstLine="851"/>
        <w:jc w:val="both"/>
        <w:rPr>
          <w:b/>
          <w:bCs/>
          <w:u w:val="single"/>
        </w:rPr>
      </w:pPr>
    </w:p>
    <w:p w:rsidR="00E13E37" w:rsidRPr="006A2F78" w:rsidRDefault="00E13E37" w:rsidP="00AF1648">
      <w:pPr>
        <w:tabs>
          <w:tab w:val="left" w:pos="2520"/>
        </w:tabs>
        <w:ind w:firstLine="851"/>
        <w:jc w:val="both"/>
        <w:rPr>
          <w:b/>
          <w:bCs/>
          <w:u w:val="single"/>
        </w:rPr>
      </w:pPr>
      <w:r w:rsidRPr="006A2F78">
        <w:rPr>
          <w:b/>
          <w:bCs/>
          <w:u w:val="single"/>
        </w:rPr>
        <w:t xml:space="preserve">Акционери над 5 % съгласно справка на ЦД към 29.07.2014 г.  </w:t>
      </w:r>
    </w:p>
    <w:p w:rsidR="00E13E37" w:rsidRPr="006A2F78" w:rsidRDefault="00E13E37" w:rsidP="008461A6">
      <w:pPr>
        <w:pStyle w:val="ListParagraph"/>
        <w:numPr>
          <w:ilvl w:val="3"/>
          <w:numId w:val="19"/>
        </w:numPr>
        <w:spacing w:line="276" w:lineRule="auto"/>
        <w:jc w:val="both"/>
      </w:pPr>
      <w:r w:rsidRPr="006A2F78">
        <w:t xml:space="preserve">„АКВАФИНАНС” ЕООД – 48,80 % - непряко този дял се притежава съответно от „Синектик” ЕООД (с управител до 11.08.2014 г. Виктория Иванова), което от своя страна е еднолична собственост на „Евробилд проект” ЕООД с управител – Юлия Йорданова Илиева и едноличен собственик на капитала - „Юлинор” ЕООД, собственост на Юлия Йорданова Илиева; </w:t>
      </w:r>
    </w:p>
    <w:p w:rsidR="00E13E37" w:rsidRPr="006A2F78" w:rsidRDefault="00E13E37" w:rsidP="008461A6">
      <w:pPr>
        <w:pStyle w:val="ListParagraph"/>
        <w:numPr>
          <w:ilvl w:val="3"/>
          <w:numId w:val="19"/>
        </w:numPr>
        <w:spacing w:line="276" w:lineRule="auto"/>
      </w:pPr>
      <w:r w:rsidRPr="006A2F78">
        <w:t>„РЕМА ТРЕЙД” ЕООД – 39.44 % - едноличен собственик на капитала на „Рема Трейд” ЕООД е г-н Васил Илиев Дойчев;</w:t>
      </w:r>
    </w:p>
    <w:p w:rsidR="00E13E37" w:rsidRPr="006A2F78" w:rsidRDefault="00E13E37" w:rsidP="008461A6">
      <w:pPr>
        <w:pStyle w:val="ListParagraph"/>
        <w:numPr>
          <w:ilvl w:val="3"/>
          <w:numId w:val="19"/>
        </w:numPr>
        <w:spacing w:line="276" w:lineRule="auto"/>
      </w:pPr>
      <w:r w:rsidRPr="006A2F78">
        <w:t>„БУЛИТ 2007” ЕООД – 9,98 % - едноличен собственик на капитала на „БУЛИТ 2007” ЕООД е г-н Димитър Атанасов Свещаров. От 28.10.2014 г. едноличен собственик на капитала на „БУЛИТ 2007” ЕООД е: г-жа Славка Ристич.</w:t>
      </w:r>
    </w:p>
    <w:p w:rsidR="00E13E37" w:rsidRPr="006A2F78" w:rsidRDefault="00E13E37" w:rsidP="008461A6">
      <w:pPr>
        <w:pStyle w:val="ListParagraph"/>
        <w:numPr>
          <w:ilvl w:val="3"/>
          <w:numId w:val="19"/>
        </w:numPr>
        <w:spacing w:line="276" w:lineRule="auto"/>
      </w:pPr>
      <w:r w:rsidRPr="006A2F78">
        <w:t>КТБ АД – 00,24 %</w:t>
      </w:r>
    </w:p>
    <w:p w:rsidR="00E13E37" w:rsidRPr="006A2F78" w:rsidRDefault="00E13E37" w:rsidP="00AF1648">
      <w:pPr>
        <w:spacing w:line="276" w:lineRule="auto"/>
        <w:ind w:left="720" w:firstLine="851"/>
      </w:pPr>
    </w:p>
    <w:p w:rsidR="00E13E37" w:rsidRPr="006A2F78" w:rsidRDefault="00E13E37" w:rsidP="00AF1648">
      <w:pPr>
        <w:ind w:firstLine="851"/>
        <w:jc w:val="both"/>
      </w:pPr>
      <w:r w:rsidRPr="006A2F78">
        <w:rPr>
          <w:color w:val="000000"/>
        </w:rPr>
        <w:t>На проведено на 28.02.2014 г. Общо събрание на облигационерите (ОСО) на „Хелт енд Уелнес" АДСИЦ, е взето решение за промени в срочността на облигационния заем както следва: Емитент: „Хелт енд Уелнес" АДСИЦ - ISIN код на емисията: BG 2100005094 удължава срока с 5 години, дата на падеж - 17.03.2019 г., като лихвения процент се запазва непроменен 8,5%. ОСО е приело решение за запазване на всички останали условия по облигационната емисия, в това число възможността дружеството да упражни кол опция.</w:t>
      </w:r>
    </w:p>
    <w:p w:rsidR="00E13E37" w:rsidRPr="006A2F78" w:rsidRDefault="00E13E37" w:rsidP="00AF1648">
      <w:pPr>
        <w:ind w:firstLine="851"/>
        <w:jc w:val="both"/>
      </w:pPr>
      <w:r w:rsidRPr="006A2F78">
        <w:t>Емитентът е задължен да извърши следващото лихвено плащане, което ще е в размер на 1 275 000 евро, на 17.03.2015 г. До настоящия момент дружеството е изпълнявало задължението си по лихвените си плащания в срок.</w:t>
      </w:r>
    </w:p>
    <w:p w:rsidR="00E13E37" w:rsidRPr="006A2F78" w:rsidRDefault="00E13E37" w:rsidP="00AF1648">
      <w:pPr>
        <w:ind w:firstLine="851"/>
        <w:jc w:val="both"/>
      </w:pPr>
      <w:r w:rsidRPr="006A2F78">
        <w:t>Съгласно сключен договор на 03.04.2009 г. между „ХЕЛТ ЕНД УЕЛНЕС” АДСИЦ и „Юробанк България” АД - банката довереник, емитентът е длъжен „при учредяване на обезпечението както и най-малко веднъж годишно до погасяване на облигационния заем, да възлага за своя сметка на лицензирана оценителска фирма извършването на оценка на недвижимите имоти, посочени по предмет на обезпечението, по пазарна цена (оценка)”.</w:t>
      </w:r>
    </w:p>
    <w:p w:rsidR="00E13E37" w:rsidRPr="006A2F78" w:rsidRDefault="00E13E37" w:rsidP="00AF1648">
      <w:pPr>
        <w:tabs>
          <w:tab w:val="left" w:pos="540"/>
        </w:tabs>
        <w:ind w:firstLine="851"/>
        <w:jc w:val="both"/>
      </w:pPr>
      <w:r w:rsidRPr="006A2F78">
        <w:t>По счетоводен баланс към 30.06.2014 г. задължението по облигационен заем е в размер на 29 337 хил. лв.</w:t>
      </w:r>
    </w:p>
    <w:p w:rsidR="00E13E37" w:rsidRPr="006A2F78" w:rsidRDefault="00E13E37" w:rsidP="00AF1648">
      <w:pPr>
        <w:tabs>
          <w:tab w:val="left" w:pos="540"/>
        </w:tabs>
        <w:ind w:firstLine="851"/>
        <w:jc w:val="both"/>
      </w:pPr>
      <w:r w:rsidRPr="006A2F78">
        <w:t>В доклада „Юробанк България” АД - банката довереник, представен с писмо вх. № 05-00-4/115 от 12.08.2014 г. към 30.06.2014 г. се посочва, че за обезпечаване на вземането по главницата и всички дължими лихви по облигационния заем „ХЕЛТ ЕНД УЕЛНЕС” АДСИЦ е учредило първа по ред в полза на банката довереник договорна ипотека върху недвижими имоти в размер на 24 879 600 евро, придобити със средства от облигационния заем.</w:t>
      </w:r>
    </w:p>
    <w:p w:rsidR="00E13E37" w:rsidRPr="006A2F78" w:rsidRDefault="00E13E37" w:rsidP="00AF1648">
      <w:pPr>
        <w:ind w:firstLine="851"/>
        <w:jc w:val="both"/>
      </w:pPr>
      <w:r w:rsidRPr="006A2F78">
        <w:t>В края на трето тримесечие „Хелт енд Уелнес” АДСИЦ почти запазва общите си активи (144 683 хил. лв.) спрямо предходното тримесечие на 2014 г. (144 259 хил. лв.), отчитайки 0,3 % увеличение. Най-голям дял от актива (34,9 %) запазват земите въпреки понижението спрямо септември 2013 г., когато техния дял е бил (38,6 %)</w:t>
      </w:r>
    </w:p>
    <w:p w:rsidR="00E13E37" w:rsidRPr="006A2F78" w:rsidRDefault="00E13E37" w:rsidP="00AF1648">
      <w:pPr>
        <w:ind w:firstLine="851"/>
        <w:jc w:val="both"/>
      </w:pPr>
      <w:r w:rsidRPr="006A2F78">
        <w:t>Краткотрайните активи отчитат ръст през септември 2014 г. спрямо предходната година, главно поради увеличение на материалните запаси, които заедно с инвестиционните имоти съставляват почти 50 % от актива на емитента.</w:t>
      </w:r>
    </w:p>
    <w:p w:rsidR="00E13E37" w:rsidRPr="006A2F78" w:rsidRDefault="00E13E37" w:rsidP="00AF1648">
      <w:pPr>
        <w:ind w:firstLine="851"/>
        <w:jc w:val="both"/>
      </w:pPr>
      <w:r w:rsidRPr="006A2F78">
        <w:t xml:space="preserve">Дружеството финансира инвестициите в земя и недвижими имоти основно чрез привличане на дългосрочно дългово финансиране под формата на заеми от финансови институции и емитиране на облигационни заеми. Задълженията по облигационните заеми на дружеството остават непроменени през второто и третото тримесечие на 2014 г. – 20,3 % от актива през 2014 г. </w:t>
      </w:r>
    </w:p>
    <w:p w:rsidR="00E13E37" w:rsidRPr="006A2F78" w:rsidRDefault="00E13E37" w:rsidP="00AF1648">
      <w:pPr>
        <w:ind w:firstLine="851"/>
        <w:jc w:val="both"/>
      </w:pPr>
      <w:r w:rsidRPr="006A2F78">
        <w:t>Отчетен е спад при задълженията по получени банкови и небанкови финансови институции спрямо второ тримесечие на текущата година (27,4 %) и спрямо трето тримесечие на 2013 г. 4,8 % .</w:t>
      </w:r>
    </w:p>
    <w:p w:rsidR="00E13E37" w:rsidRPr="006A2F78" w:rsidRDefault="00E13E37" w:rsidP="00AF1648">
      <w:pPr>
        <w:ind w:firstLine="851"/>
        <w:jc w:val="both"/>
      </w:pPr>
      <w:r w:rsidRPr="006A2F78">
        <w:t>Не се наблюдава изменение в основния капитал на емитента на годишна и тримесечна база.</w:t>
      </w:r>
    </w:p>
    <w:p w:rsidR="00E13E37" w:rsidRPr="008461A6" w:rsidRDefault="00E13E37" w:rsidP="00AF1648">
      <w:pPr>
        <w:ind w:firstLine="851"/>
        <w:jc w:val="both"/>
      </w:pPr>
      <w:r w:rsidRPr="008461A6">
        <w:t>Дружеството изпълнява условията по проспекта на облигационната емисия: отношението на общия дълг към активите е 84,38 % (при изискване за не повече от 95 %) , а покритието на лихвените разходи от печалбата преди лихви и данъци е 1,14  (при изискване за не по-малко от 1,00). Съотношението обезпечение/облигационен заем в края на тримесечието е малко над 1,00  (при изискване за не по-малко от 1,00).</w:t>
      </w:r>
    </w:p>
    <w:p w:rsidR="00E13E37" w:rsidRPr="006A2F78" w:rsidRDefault="00E13E37" w:rsidP="00AF1648">
      <w:pPr>
        <w:ind w:firstLine="851"/>
        <w:jc w:val="both"/>
      </w:pPr>
      <w:r w:rsidRPr="006A2F78">
        <w:rPr>
          <w:color w:val="000000"/>
        </w:rPr>
        <w:t xml:space="preserve">На 16.06.2014 г. </w:t>
      </w:r>
      <w:r w:rsidRPr="006A2F78">
        <w:t>„КТБ” АД</w:t>
      </w:r>
      <w:r w:rsidRPr="006A2F78">
        <w:rPr>
          <w:color w:val="000000"/>
        </w:rPr>
        <w:t xml:space="preserve"> е закупила 1 576 броя облигации на стойност 1 610 129 лв.</w:t>
      </w:r>
      <w:r w:rsidRPr="006A2F78">
        <w:t>, като към 29.07.2014 г. притежава 4 946 бр. облигации или 32.97% от емисията.</w:t>
      </w:r>
    </w:p>
    <w:p w:rsidR="00E13E37" w:rsidRPr="006A2F78" w:rsidRDefault="00E13E37" w:rsidP="00AF1648">
      <w:pPr>
        <w:ind w:firstLine="851"/>
        <w:jc w:val="both"/>
      </w:pPr>
    </w:p>
    <w:p w:rsidR="00E13E37" w:rsidRPr="006A2F78" w:rsidRDefault="00E13E37" w:rsidP="00AF1648">
      <w:pPr>
        <w:ind w:firstLine="851"/>
        <w:jc w:val="both"/>
        <w:rPr>
          <w:b/>
          <w:bCs/>
          <w:i/>
          <w:iCs/>
        </w:rPr>
      </w:pPr>
      <w:r w:rsidRPr="006A2F78">
        <w:rPr>
          <w:b/>
          <w:bCs/>
          <w:i/>
          <w:iCs/>
          <w:color w:val="000000"/>
        </w:rPr>
        <w:t>В заключение, може да се посочи, че изброените по-горе емисии ценни книжа (облигации) допуснати в резултат на потвърден от КФН проспект до търговия на регулиран пазар, са обслужвани редовно и банките довереници на облигационерите не са сигнализирали за проблеми свързани с облигационните заеми.</w:t>
      </w:r>
    </w:p>
    <w:p w:rsidR="00E13E37" w:rsidRPr="006A2F78" w:rsidRDefault="00E13E37" w:rsidP="00F80994">
      <w:pPr>
        <w:jc w:val="both"/>
      </w:pPr>
    </w:p>
    <w:p w:rsidR="00E13E37" w:rsidRDefault="00E13E37">
      <w:r>
        <w:br w:type="page"/>
      </w:r>
    </w:p>
    <w:p w:rsidR="00E13E37" w:rsidRPr="006A2F78" w:rsidRDefault="00E13E37" w:rsidP="008461A6">
      <w:pPr>
        <w:pStyle w:val="Heading2"/>
        <w:numPr>
          <w:ilvl w:val="0"/>
          <w:numId w:val="3"/>
        </w:numPr>
        <w:tabs>
          <w:tab w:val="clear" w:pos="180"/>
        </w:tabs>
        <w:ind w:left="709"/>
      </w:pPr>
      <w:r w:rsidRPr="006A2F78">
        <w:t>КТБ притежава управляващото дружество ("КТБ Асет мениджмънт" АД). В тази връзка КФН проверила ли е в какви финансови инструменти се инвестират активите на управляваните от това управляващо дружество договорни фондове?</w:t>
      </w:r>
    </w:p>
    <w:p w:rsidR="00E13E37" w:rsidRPr="006A2F78" w:rsidRDefault="00E13E37" w:rsidP="00F80994">
      <w:pPr>
        <w:jc w:val="both"/>
        <w:rPr>
          <w:u w:val="single"/>
        </w:rPr>
      </w:pPr>
    </w:p>
    <w:p w:rsidR="00E13E37" w:rsidRPr="006A2F78" w:rsidRDefault="00E13E37" w:rsidP="00F80994">
      <w:pPr>
        <w:ind w:firstLine="708"/>
        <w:jc w:val="both"/>
      </w:pPr>
      <w:r w:rsidRPr="006A2F78">
        <w:t xml:space="preserve">КФН е издала </w:t>
      </w:r>
      <w:r w:rsidRPr="006A2F78">
        <w:rPr>
          <w:b/>
          <w:bCs/>
        </w:rPr>
        <w:t xml:space="preserve">лиценз </w:t>
      </w:r>
      <w:r w:rsidRPr="006A2F78">
        <w:t>на „КТБ Асет Мениджмънт” АД с Решение № 1608-УД от 14.12.2008 г. за извършване на услугите по чл. 202, ал. 1 и ал. 2 (отм.) от ЗППЦК (сега по чл. 86, ал. 1 и ал. 2 от ЗДКИСДПКИ).</w:t>
      </w:r>
    </w:p>
    <w:p w:rsidR="00E13E37" w:rsidRPr="006A2F78" w:rsidRDefault="00E13E37" w:rsidP="00F80994">
      <w:pPr>
        <w:ind w:firstLine="708"/>
        <w:jc w:val="both"/>
      </w:pPr>
      <w:r w:rsidRPr="006A2F78">
        <w:t>УД</w:t>
      </w:r>
      <w:r w:rsidRPr="006A2F78">
        <w:rPr>
          <w:b/>
          <w:bCs/>
        </w:rPr>
        <w:t xml:space="preserve"> </w:t>
      </w:r>
      <w:r w:rsidRPr="006A2F78">
        <w:t xml:space="preserve">„КТБ Асет мениджмънт” АД има разрешения за организиране и управление на следните </w:t>
      </w:r>
      <w:r w:rsidRPr="006A2F78">
        <w:rPr>
          <w:b/>
          <w:bCs/>
        </w:rPr>
        <w:t>договорни фондове</w:t>
      </w:r>
      <w:r w:rsidRPr="006A2F78">
        <w:t>:</w:t>
      </w:r>
    </w:p>
    <w:p w:rsidR="00E13E37" w:rsidRPr="006A2F78" w:rsidRDefault="00E13E37" w:rsidP="00F80994">
      <w:pPr>
        <w:ind w:firstLine="708"/>
        <w:jc w:val="both"/>
      </w:pPr>
      <w:r w:rsidRPr="006A2F78">
        <w:t>- ДФ „КТБ Фонд акции” – Решение № 249-ДФ от 05.03.2008 г.;</w:t>
      </w:r>
    </w:p>
    <w:p w:rsidR="00E13E37" w:rsidRPr="006A2F78" w:rsidRDefault="00E13E37" w:rsidP="00F80994">
      <w:pPr>
        <w:ind w:firstLine="708"/>
        <w:jc w:val="both"/>
      </w:pPr>
      <w:r w:rsidRPr="006A2F78">
        <w:t>- ДФ „КТБ Балансиран фонд” - Решение № 250-ДФ от 05.03.2008 г.;</w:t>
      </w:r>
    </w:p>
    <w:p w:rsidR="00E13E37" w:rsidRPr="006A2F78" w:rsidRDefault="00E13E37" w:rsidP="00F80994">
      <w:pPr>
        <w:ind w:firstLine="708"/>
        <w:jc w:val="both"/>
      </w:pPr>
      <w:r w:rsidRPr="006A2F78">
        <w:t>- ДФ „КТБ Фонд Паричен пазар” - Решение № 816-ДФ от 25.07.2012 г.</w:t>
      </w:r>
    </w:p>
    <w:p w:rsidR="00E13E37" w:rsidRPr="006A2F78" w:rsidRDefault="00E13E37" w:rsidP="008461A6">
      <w:pPr>
        <w:ind w:firstLine="708"/>
        <w:jc w:val="both"/>
      </w:pPr>
      <w:r w:rsidRPr="006A2F78">
        <w:t>Съгласно чл. 5, ал. 1, предл. първо от ЗДКИСДПКИ колективната инвестиционна схема се учредява като договорен фонд.</w:t>
      </w:r>
    </w:p>
    <w:p w:rsidR="00E13E37" w:rsidRPr="006A2F78" w:rsidRDefault="00E13E37" w:rsidP="00F80994">
      <w:pPr>
        <w:ind w:firstLine="720"/>
        <w:jc w:val="both"/>
      </w:pPr>
      <w:r w:rsidRPr="006A2F78">
        <w:t xml:space="preserve">Видовете активи, в които УД може да инвестира са определени в проспекта на съответните колективни инвестиционни схеми (КИС), които УД „КТБ Асет Мениджмънт” АД, в съответствие с разпоредбата на чл. 38, ал. 1 от ЗДКИСДПКИ. Количествените ограничения са определени нормативно в чл. 43 – чл. 49  от ЗДКИСДПКИ включително. </w:t>
      </w:r>
    </w:p>
    <w:p w:rsidR="00E13E37" w:rsidRPr="006A2F78" w:rsidRDefault="00E13E37" w:rsidP="00F80994">
      <w:pPr>
        <w:ind w:firstLine="720"/>
        <w:jc w:val="both"/>
      </w:pPr>
      <w:r w:rsidRPr="006A2F78">
        <w:t>В одобрените от КФН проспекти и документи с ключова информация за инвеститорите на КИС са определени видовете активи, в които управляваните от УД „</w:t>
      </w:r>
      <w:r>
        <w:t>КТБ Асет Мениджмънт” АД КИС могат</w:t>
      </w:r>
      <w:r w:rsidRPr="006A2F78">
        <w:t xml:space="preserve"> да инвестира</w:t>
      </w:r>
      <w:r>
        <w:t>т</w:t>
      </w:r>
      <w:r w:rsidRPr="006A2F78">
        <w:t>, както и естеството и рисковете, свързани с инвестициите на съответните договорни фондове (ДФ)</w:t>
      </w:r>
      <w:r>
        <w:t>.</w:t>
      </w:r>
    </w:p>
    <w:p w:rsidR="00E13E37" w:rsidRDefault="00E13E37" w:rsidP="00F80994">
      <w:pPr>
        <w:ind w:firstLine="720"/>
        <w:jc w:val="both"/>
      </w:pPr>
      <w:r w:rsidRPr="006A2F78">
        <w:t>Относно инвестициите на управляваните от УД „КТБ Асет Мениджмънт” АД ДФ „КТБ балансиран фонд”, ДФ „КТБ паричен пазар” и ДФ „КТБ фонд акции” е установено, че инвестирането в определени финансови инструменти се извършва на база на конкретни инвестиционни предложения, които се изготвят от инвестиционен консултант на УД „КТБ Асет Мениджмънт” АД. Инвестиционните предложения служат като насоки при управлението на ДФ и са пряко свързани с постигането на инвестиционната стратегия, заложен</w:t>
      </w:r>
      <w:r>
        <w:t>а в проспекта на съответния ДФ.</w:t>
      </w:r>
    </w:p>
    <w:p w:rsidR="00E13E37" w:rsidRDefault="00E13E37" w:rsidP="00F80994">
      <w:pPr>
        <w:ind w:firstLine="720"/>
        <w:jc w:val="both"/>
      </w:pPr>
      <w:r w:rsidRPr="006A2F78">
        <w:t xml:space="preserve">Наред с това, съгласно приетите Правила за вътрешната организация и вътрешния контрол на УД „КТБ Асет Мениджмънт” АД, в УД е създаден отдел „Управление на порфейли”, в чиято компетентност се включва именно изготвяне на предложения по управление на портфейли на база на изготвената инвестиционна политика и инвестиционните ограничения за всеки портфейл, като съответните инвестиционни предложения на този отдел се одобряват </w:t>
      </w:r>
      <w:r>
        <w:t>от Съвета на директорите.</w:t>
      </w:r>
    </w:p>
    <w:p w:rsidR="00E13E37" w:rsidRPr="006A2F78" w:rsidRDefault="00E13E37" w:rsidP="00F80994">
      <w:pPr>
        <w:ind w:firstLine="720"/>
        <w:jc w:val="both"/>
      </w:pPr>
      <w:r w:rsidRPr="006A2F78">
        <w:t xml:space="preserve">В този смисъл КФН не разполага с правомощия да контролира инвестирането в определени финансови инструменти, стига съответните предложения за инвестиране на активите на ДФ да попадат в изчерпателно посочените видове активи, нормативно определени в разпоредбата на чл. 38 от ЗДКИСДПКИ и да са в нормативно заложените ограничения съгласно чл. 43 - чл. 49  от ЗДКИСДПКИ. </w:t>
      </w:r>
    </w:p>
    <w:p w:rsidR="00E13E37" w:rsidRPr="006A2F78" w:rsidRDefault="00E13E37" w:rsidP="00F80994">
      <w:pPr>
        <w:ind w:firstLine="720"/>
        <w:jc w:val="both"/>
      </w:pPr>
      <w:r w:rsidRPr="006A2F78">
        <w:t>Чл. 51 от ЗДКИСДПКИ определя, че в случай на нарушение на инвестиционните ограничения извън контрола на КИС, съответната КИС приоритетно, но не по-късно от два месеца от възникване на нарушението чрез сделки за продажба привежда активите си в съответствие с инвестиционните ограничения, като отчита интереса на притежателите на дялове, като съгласно чл. 52 от ЗДКИСДПКИ, в случаите по чл. 51 от ЗДКИСДПКИ, КИС е длъжна в 7-дневен срок от извършване на нарушението да уведоми КФН, като представи информация за причините за възникването му и за предприетите мерки за отстраняването му.</w:t>
      </w:r>
    </w:p>
    <w:p w:rsidR="00E13E37" w:rsidRPr="0081691A" w:rsidRDefault="00E13E37" w:rsidP="00F80994">
      <w:pPr>
        <w:ind w:firstLine="851"/>
        <w:jc w:val="both"/>
        <w:rPr>
          <w:b/>
          <w:bCs/>
        </w:rPr>
      </w:pPr>
      <w:r w:rsidRPr="006A2F78">
        <w:t xml:space="preserve">В резултат на извършена проверка по документи от страна на КФН е установено, че до 05.11.2014 г. инвестиционният консултант на УД е изготвял конкретни предложения за извършване на промени в инвестиционния портфейл на фонда, </w:t>
      </w:r>
      <w:r w:rsidRPr="0081691A">
        <w:rPr>
          <w:b/>
          <w:bCs/>
        </w:rPr>
        <w:t xml:space="preserve">като не е установено превишение на експозициите на управляваните ДФ в определени ценни книжа, което се установява и на база на представяните в КФН месечни справки за структурата на портфейла, с изключение на полученото на 30.06.2014 г. уведомление от УД „КТБ Асет Мениджмънт” АД. </w:t>
      </w:r>
    </w:p>
    <w:p w:rsidR="00E13E37" w:rsidRPr="006A2F78" w:rsidRDefault="00E13E37" w:rsidP="00F80994">
      <w:pPr>
        <w:ind w:firstLine="851"/>
        <w:jc w:val="both"/>
      </w:pPr>
      <w:r w:rsidRPr="006A2F78">
        <w:t>На 30.06.2014 г. в КФН е постъпило уведомление за нарушено инвестиционно ограничение, на основание чл. 52 от ЗДКИСДПКИ от страна на УД „КТБ Асет Мениджмънт” АД за сметка на ДФ „КТБ Балансиран Фонд”, като нарушеното инвестиционно ограничение се изразява в превишаване на общата стойност на инвестициите на ДФ в ДЦК, издадени от Република България. След извършена продажба на ДЦК, УД „КТБ Асет Мениджмънт” АД е привело активите на ДФ „КТБ Балансиран Фонд” в съответствие с инвестиционните ограничения.</w:t>
      </w:r>
    </w:p>
    <w:p w:rsidR="00E13E37" w:rsidRPr="006A2F78" w:rsidRDefault="00E13E37" w:rsidP="008461A6">
      <w:pPr>
        <w:ind w:firstLine="851"/>
        <w:jc w:val="both"/>
      </w:pPr>
      <w:r w:rsidRPr="006A2F78">
        <w:t xml:space="preserve">В обобщение на горното, КФН осъществява надзор върху видовете активи, в които ДФ инвестират набраните парични средства, като следи дали направените от съответното ДФ инвестиции съответстват на количествените ограничения, изброени изчерпателно в чл. 43 – чл. 49 от ЗДКИСДПКИ. Проверката от КФН за това се осъществява на базата на представяната периодична информация, дължима по закон и подзаконови нормативни актове. </w:t>
      </w:r>
    </w:p>
    <w:p w:rsidR="00E13E37" w:rsidRPr="006A2F78" w:rsidRDefault="00E13E37" w:rsidP="00F80994">
      <w:pPr>
        <w:ind w:firstLine="851"/>
        <w:jc w:val="both"/>
      </w:pPr>
      <w:r w:rsidRPr="006A2F78">
        <w:t xml:space="preserve">При направена проверка относно лицата, притежаващи дялове от управляваните от УД „КТБ Асет мениджмънт” АД договорни фондове, за периода 31.12.2013 г. - 05.11.2014 г., е констатирано че няма поръчки за обратно изкупуване, превишаващи емитирането на дялове, като всички подадени през периода от 31.12.2013 г. - 05.11.2014 г. поръчки за обратно изкупуване, са изпълнени. </w:t>
      </w:r>
    </w:p>
    <w:p w:rsidR="00E13E37" w:rsidRPr="0081691A" w:rsidRDefault="00E13E37" w:rsidP="008461A6">
      <w:pPr>
        <w:ind w:firstLine="851"/>
        <w:jc w:val="both"/>
        <w:rPr>
          <w:b/>
          <w:bCs/>
        </w:rPr>
      </w:pPr>
      <w:r w:rsidRPr="0081691A">
        <w:rPr>
          <w:b/>
          <w:bCs/>
        </w:rPr>
        <w:t>Банка депозитар на ДФ управлявани от УД „КТБ Асет Мениджмънт” АД е „Юробанк България” АД.</w:t>
      </w:r>
    </w:p>
    <w:p w:rsidR="00E13E37" w:rsidRPr="006A2F78" w:rsidRDefault="00E13E37" w:rsidP="00F80994">
      <w:pPr>
        <w:ind w:firstLine="708"/>
        <w:jc w:val="both"/>
        <w:rPr>
          <w:b/>
          <w:bCs/>
        </w:rPr>
      </w:pPr>
      <w:r w:rsidRPr="006A2F78">
        <w:rPr>
          <w:b/>
          <w:bCs/>
        </w:rPr>
        <w:t>Информация пряко засягаща инвеститорите в дялове на управляваните от УД „КТБ Асет Мениджмънт” АД договорни фондове:</w:t>
      </w:r>
    </w:p>
    <w:p w:rsidR="00E13E37" w:rsidRPr="006A2F78" w:rsidRDefault="00E13E37" w:rsidP="00F80994">
      <w:pPr>
        <w:ind w:firstLine="708"/>
        <w:jc w:val="both"/>
      </w:pPr>
      <w:r w:rsidRPr="006A2F78">
        <w:t xml:space="preserve"> - към 20.06.2014 г. за сметка на ДФ не са инвестирани парични средства в депозити в „КТБ” АД;</w:t>
      </w:r>
    </w:p>
    <w:p w:rsidR="00E13E37" w:rsidRPr="006A2F78" w:rsidRDefault="00E13E37" w:rsidP="00F80994">
      <w:pPr>
        <w:ind w:firstLine="708"/>
        <w:jc w:val="both"/>
      </w:pPr>
      <w:r w:rsidRPr="006A2F78">
        <w:t>- няма неизпълнени подадени поръчки за обратно изкупуване на дялове на клиенти на УД;</w:t>
      </w:r>
    </w:p>
    <w:p w:rsidR="00E13E37" w:rsidRPr="006A2F78" w:rsidRDefault="00E13E37" w:rsidP="00F80994">
      <w:pPr>
        <w:jc w:val="both"/>
        <w:rPr>
          <w:color w:val="000000"/>
        </w:rPr>
      </w:pPr>
      <w:r w:rsidRPr="006A2F78">
        <w:tab/>
        <w:t xml:space="preserve">- нетната стойност на активите на един дял от </w:t>
      </w:r>
      <w:r w:rsidRPr="006A2F78">
        <w:rPr>
          <w:color w:val="000000"/>
        </w:rPr>
        <w:t xml:space="preserve">ДФ „КТБ балансиран фонд” към 31.07.2014 г. (1204,54) сравнен с </w:t>
      </w:r>
      <w:r w:rsidRPr="006A2F78">
        <w:t>нетна стойност на активите на един дял</w:t>
      </w:r>
      <w:r w:rsidRPr="006A2F78">
        <w:rPr>
          <w:color w:val="000000"/>
        </w:rPr>
        <w:t xml:space="preserve"> към 02.01.2014 г. (1158,44) се е повишил с 3,98%;</w:t>
      </w:r>
    </w:p>
    <w:p w:rsidR="00E13E37" w:rsidRPr="006A2F78" w:rsidRDefault="00E13E37" w:rsidP="00F80994">
      <w:pPr>
        <w:ind w:firstLine="708"/>
        <w:jc w:val="both"/>
        <w:rPr>
          <w:color w:val="000000"/>
        </w:rPr>
      </w:pPr>
      <w:r w:rsidRPr="006A2F78">
        <w:rPr>
          <w:color w:val="000000"/>
        </w:rPr>
        <w:t xml:space="preserve">- </w:t>
      </w:r>
      <w:r w:rsidRPr="006A2F78">
        <w:t xml:space="preserve">нетната стойност на активите на един дял от </w:t>
      </w:r>
      <w:r w:rsidRPr="006A2F78">
        <w:rPr>
          <w:color w:val="000000"/>
        </w:rPr>
        <w:t xml:space="preserve">ДФ „КТБ паричен пазар” към 31.07.2014 г. (1064,22) сравнен с </w:t>
      </w:r>
      <w:r w:rsidRPr="006A2F78">
        <w:t>нетна стойност на активите на един дял</w:t>
      </w:r>
      <w:r w:rsidRPr="006A2F78">
        <w:rPr>
          <w:color w:val="000000"/>
        </w:rPr>
        <w:t xml:space="preserve"> към 02.01.2014 г. (1047,15) се е повишил с 1,63%;</w:t>
      </w:r>
    </w:p>
    <w:p w:rsidR="00E13E37" w:rsidRDefault="00E13E37" w:rsidP="00F80994">
      <w:pPr>
        <w:ind w:firstLine="708"/>
        <w:jc w:val="both"/>
        <w:rPr>
          <w:color w:val="000000"/>
        </w:rPr>
      </w:pPr>
      <w:r w:rsidRPr="006A2F78">
        <w:rPr>
          <w:color w:val="000000"/>
        </w:rPr>
        <w:t xml:space="preserve">- </w:t>
      </w:r>
      <w:r w:rsidRPr="006A2F78">
        <w:t xml:space="preserve">нетната стойност на активите на един дял от </w:t>
      </w:r>
      <w:r w:rsidRPr="006A2F78">
        <w:rPr>
          <w:color w:val="000000"/>
        </w:rPr>
        <w:t xml:space="preserve">ДФ „КТБ фонд акции” към 31.07.2014 г. (1105,01) сравнен с </w:t>
      </w:r>
      <w:r w:rsidRPr="006A2F78">
        <w:t>нетна стойност на активите на един дял</w:t>
      </w:r>
      <w:r w:rsidRPr="006A2F78">
        <w:rPr>
          <w:color w:val="000000"/>
        </w:rPr>
        <w:t xml:space="preserve"> към 02.01.2014 г. (1066,70) се е повишил с 3,59%.</w:t>
      </w:r>
    </w:p>
    <w:p w:rsidR="00E13E37" w:rsidRPr="008461A6" w:rsidRDefault="00E13E37" w:rsidP="008461A6">
      <w:pPr>
        <w:ind w:firstLine="851"/>
        <w:jc w:val="both"/>
        <w:rPr>
          <w:b/>
          <w:bCs/>
          <w:i/>
          <w:iCs/>
        </w:rPr>
      </w:pPr>
      <w:r w:rsidRPr="00DA44B0">
        <w:rPr>
          <w:b/>
          <w:bCs/>
          <w:i/>
          <w:iCs/>
        </w:rPr>
        <w:t>И в трите договорни фонда, управлявани от УД „КТБ Асет Мениджмънт”, нетната стойност на активите за последния публикуван отчетен период се е повишила, което е безспорно положително развитие за инвеститорите в тези фондове</w:t>
      </w:r>
      <w:r>
        <w:rPr>
          <w:b/>
          <w:bCs/>
          <w:i/>
          <w:iCs/>
        </w:rPr>
        <w:t>, като надзорните действия от страна на КФН потвърждават липсата на експозиции и загуби вследствие затварянето на КТБ АД.</w:t>
      </w:r>
      <w:r>
        <w:rPr>
          <w:b/>
          <w:bCs/>
          <w:i/>
          <w:iCs/>
        </w:rPr>
        <w:br w:type="page"/>
      </w:r>
    </w:p>
    <w:p w:rsidR="00E13E37" w:rsidRPr="006A2F78" w:rsidRDefault="00E13E37" w:rsidP="008461A6">
      <w:pPr>
        <w:pStyle w:val="Heading2"/>
        <w:numPr>
          <w:ilvl w:val="0"/>
          <w:numId w:val="3"/>
        </w:numPr>
        <w:tabs>
          <w:tab w:val="clear" w:pos="180"/>
          <w:tab w:val="num" w:pos="-5529"/>
        </w:tabs>
        <w:ind w:left="709"/>
      </w:pPr>
      <w:r w:rsidRPr="006A2F78">
        <w:t>КТБ притежава</w:t>
      </w:r>
      <w:r>
        <w:t xml:space="preserve"> инвестиционен посредник ("Фина-</w:t>
      </w:r>
      <w:r w:rsidRPr="006A2F78">
        <w:t>С" АД), през който вероятно са минавали значима част от сделките с финансови инструменти на групата КТБ. КФН забелязала ли е операции, които може да са способствали констатираните от БНБ нарушения в практиките на КТБ?</w:t>
      </w:r>
    </w:p>
    <w:p w:rsidR="00E13E37" w:rsidRDefault="00E13E37" w:rsidP="00B10B0A">
      <w:pPr>
        <w:spacing w:line="270" w:lineRule="atLeast"/>
        <w:ind w:firstLine="709"/>
        <w:jc w:val="both"/>
        <w:rPr>
          <w:color w:val="000000"/>
        </w:rPr>
      </w:pPr>
    </w:p>
    <w:p w:rsidR="00E13E37" w:rsidRDefault="00E13E37" w:rsidP="00B10B0A">
      <w:pPr>
        <w:spacing w:line="270" w:lineRule="atLeast"/>
        <w:ind w:firstLine="709"/>
        <w:jc w:val="both"/>
        <w:rPr>
          <w:color w:val="000000"/>
        </w:rPr>
      </w:pPr>
      <w:r>
        <w:rPr>
          <w:color w:val="000000"/>
        </w:rPr>
        <w:t>Въпросът е зададен неточно. Не КТБ, а мажоритарният акционер на КТБ – „Бромак” ЕООД – притежава инвестиционния посредник „Фина-С” АД, тоест „КТБ” АД и „Фина-С” АД са „сестрински” компании. Така или иначе, и</w:t>
      </w:r>
      <w:r w:rsidRPr="004E25FD">
        <w:rPr>
          <w:color w:val="000000"/>
        </w:rPr>
        <w:t xml:space="preserve">зползването от лице (физическо или юридическо) на услугите на инвестиционен посредник, който е от същата група, включително за закупуване на финансови инструменти, издадени от други дружества от групата е широко разпространено на капиталовите пазари и не е забранено от приложимото законодателство. </w:t>
      </w:r>
      <w:r>
        <w:rPr>
          <w:color w:val="000000"/>
        </w:rPr>
        <w:t>На такъв принцип функционират практически всички глобални финансови групи, които обикновено включват търговска банка, компания по управление на активи и/или частно банкиране, инвестиционен посредник, лизингова компания и др., както и дялове и участия в голям брой търговски предприятия (т.нар. модел на универсално банкиране). Така функционират и преобладаващата част от представените на българския пазар чуждестранни финансови институции.</w:t>
      </w:r>
    </w:p>
    <w:p w:rsidR="00E13E37" w:rsidRPr="00B10B0A" w:rsidRDefault="00E13E37" w:rsidP="00B10B0A">
      <w:pPr>
        <w:spacing w:line="270" w:lineRule="atLeast"/>
        <w:ind w:firstLine="709"/>
        <w:jc w:val="both"/>
        <w:rPr>
          <w:color w:val="000000"/>
        </w:rPr>
      </w:pPr>
      <w:r>
        <w:rPr>
          <w:color w:val="000000"/>
        </w:rPr>
        <w:t>Д</w:t>
      </w:r>
      <w:r w:rsidRPr="00233551">
        <w:rPr>
          <w:color w:val="000000"/>
        </w:rPr>
        <w:t xml:space="preserve">околкото констатираните от БНБ нарушения </w:t>
      </w:r>
      <w:r>
        <w:rPr>
          <w:color w:val="000000"/>
        </w:rPr>
        <w:t xml:space="preserve">в КТБ АД </w:t>
      </w:r>
      <w:r w:rsidRPr="00233551">
        <w:rPr>
          <w:color w:val="000000"/>
        </w:rPr>
        <w:t>са свързани</w:t>
      </w:r>
      <w:r>
        <w:rPr>
          <w:color w:val="000000"/>
        </w:rPr>
        <w:t xml:space="preserve">, както бе оповестено, главно </w:t>
      </w:r>
      <w:r w:rsidRPr="00233551">
        <w:rPr>
          <w:color w:val="000000"/>
        </w:rPr>
        <w:t>с предоставяне на кредити, следва да се подчертае, че дейността на КТБ АД по кредитиране е надзиравана от БНБ. КФН няма информация за тази дейност, както и правомощия да осъществява надзор.</w:t>
      </w:r>
    </w:p>
    <w:p w:rsidR="00E13E37" w:rsidRPr="006A2F78" w:rsidRDefault="00E13E37" w:rsidP="00CB23DA">
      <w:pPr>
        <w:spacing w:line="270" w:lineRule="atLeast"/>
        <w:jc w:val="both"/>
        <w:rPr>
          <w:color w:val="000000"/>
        </w:rPr>
      </w:pPr>
      <w:r w:rsidRPr="006A2F78">
        <w:rPr>
          <w:color w:val="000000"/>
        </w:rPr>
        <w:tab/>
        <w:t xml:space="preserve">Информацията, </w:t>
      </w:r>
      <w:r w:rsidRPr="006A2F78">
        <w:t xml:space="preserve">която на основание чл. 38, ал. 1 от Закона за пазарите на финансови инструменти (ЗПФИ) се предоставя в КФН на ежедневна база от инвестиционните  посредници за сключените на регулиран пазар сделки с финансови инструменти </w:t>
      </w:r>
      <w:r w:rsidRPr="006A2F78">
        <w:rPr>
          <w:color w:val="000000"/>
        </w:rPr>
        <w:t xml:space="preserve">включва данни за сключени през предишния работен ден сделки чрез съответния посредник, включително страни, тип сделка, брой финансови инструменти и единичната им стойност. </w:t>
      </w:r>
      <w:r w:rsidRPr="006A2F78">
        <w:t>Въз основа на така предоставената регулярна информация</w:t>
      </w:r>
      <w:r w:rsidRPr="006A2F78">
        <w:rPr>
          <w:color w:val="000000"/>
        </w:rPr>
        <w:t xml:space="preserve"> КФН не разполага с никакви данни за източника на средствата, с които се заплаща стойността на съответната сделка (собствени или заемни). </w:t>
      </w:r>
      <w:r w:rsidRPr="006A2F78">
        <w:rPr>
          <w:color w:val="0000FF"/>
        </w:rPr>
        <w:t> </w:t>
      </w:r>
      <w:r w:rsidRPr="006A2F78">
        <w:rPr>
          <w:color w:val="000000"/>
        </w:rPr>
        <w:t xml:space="preserve">За финансовите пазари е традиционно дружествата, които са част от големи групи, да сключват сделки за покупка на финансови инструменти, издадени от друго дружество от групата, включително и такива на значима стойност. </w:t>
      </w:r>
    </w:p>
    <w:p w:rsidR="00E13E37" w:rsidRPr="00B10B0A" w:rsidRDefault="00E13E37" w:rsidP="00CB23DA">
      <w:pPr>
        <w:spacing w:line="270" w:lineRule="atLeast"/>
        <w:jc w:val="both"/>
        <w:rPr>
          <w:rStyle w:val="Strong"/>
          <w:i/>
          <w:iCs/>
        </w:rPr>
      </w:pPr>
      <w:r w:rsidRPr="006A2F78">
        <w:rPr>
          <w:color w:val="000000"/>
        </w:rPr>
        <w:tab/>
      </w:r>
      <w:r w:rsidRPr="00B10B0A">
        <w:rPr>
          <w:b/>
          <w:bCs/>
          <w:i/>
          <w:iCs/>
          <w:color w:val="000000"/>
        </w:rPr>
        <w:t xml:space="preserve">Като се има предвид изложеното следва да се подчертае, че операциите с финансови инструменти, които са осъществявани чрез </w:t>
      </w:r>
      <w:r w:rsidRPr="00B10B0A">
        <w:rPr>
          <w:b/>
          <w:bCs/>
          <w:i/>
          <w:iCs/>
        </w:rPr>
        <w:t xml:space="preserve">„ФИНА-С” АД не са били необичайни по естество и размер, а </w:t>
      </w:r>
      <w:r w:rsidRPr="00B10B0A">
        <w:rPr>
          <w:rStyle w:val="Strong"/>
          <w:i/>
          <w:iCs/>
        </w:rPr>
        <w:t>информацията, с която КФН разполага за тези сделки не съдържа данни</w:t>
      </w:r>
      <w:r w:rsidRPr="00B10B0A">
        <w:rPr>
          <w:i/>
          <w:iCs/>
          <w:color w:val="0000FF"/>
        </w:rPr>
        <w:t> </w:t>
      </w:r>
      <w:r w:rsidRPr="00B10B0A">
        <w:rPr>
          <w:rStyle w:val="Strong"/>
          <w:i/>
          <w:iCs/>
          <w:color w:val="000000"/>
        </w:rPr>
        <w:t>,</w:t>
      </w:r>
      <w:r w:rsidRPr="00B10B0A">
        <w:rPr>
          <w:i/>
          <w:iCs/>
          <w:color w:val="0000FF"/>
        </w:rPr>
        <w:t> </w:t>
      </w:r>
      <w:r w:rsidRPr="00B10B0A">
        <w:rPr>
          <w:rStyle w:val="Strong"/>
          <w:i/>
          <w:iCs/>
        </w:rPr>
        <w:t xml:space="preserve"> свързани с кредитирането на страни по сделките или с финансовото състояние на тези страни, с оглед на което за КФН е било обективно невъзможно да обвърже тези сделки с констатираните от БНБ нарушения в практиките на КТБ АД. </w:t>
      </w:r>
    </w:p>
    <w:p w:rsidR="00E13E37" w:rsidRPr="006A2F78" w:rsidRDefault="00E13E37" w:rsidP="00CB23DA">
      <w:pPr>
        <w:spacing w:line="270" w:lineRule="atLeast"/>
        <w:jc w:val="both"/>
      </w:pPr>
      <w:r w:rsidRPr="006A2F78">
        <w:tab/>
        <w:t>Допълнително Ви предоставяме данни за осъществявания от КФН надзор по отношение на „Фина - С” АД:</w:t>
      </w:r>
    </w:p>
    <w:p w:rsidR="00E13E37" w:rsidRPr="0081691A" w:rsidRDefault="00E13E37" w:rsidP="00CB23DA">
      <w:pPr>
        <w:spacing w:line="270" w:lineRule="atLeast"/>
        <w:jc w:val="both"/>
        <w:rPr>
          <w:b/>
          <w:bCs/>
        </w:rPr>
      </w:pPr>
      <w:r w:rsidRPr="0081691A">
        <w:rPr>
          <w:b/>
          <w:bCs/>
        </w:rPr>
        <w:tab/>
        <w:t>1. През 2012 г. е извършена пълна проверка на дейността на инвестиционен посредник „ФИНА-С” АД. Проверката е приключила с връчване на констативен протокол, с който са отправени 12 задължителни предписания към дружеството. В рамките на предоставения срок същото се е съобразило изцяло с тях.</w:t>
      </w:r>
    </w:p>
    <w:p w:rsidR="00E13E37" w:rsidRPr="006A2F78" w:rsidRDefault="00E13E37" w:rsidP="00CB23DA">
      <w:pPr>
        <w:ind w:firstLine="708"/>
        <w:jc w:val="both"/>
      </w:pPr>
      <w:r w:rsidRPr="006A2F78">
        <w:t>2. В Комисията за финансов надзор не са постъпвали жалби и сигнали срещу дейността на този инвестиционен посредник.</w:t>
      </w:r>
    </w:p>
    <w:p w:rsidR="00E13E37" w:rsidRPr="006A2F78" w:rsidRDefault="00E13E37" w:rsidP="00CB23DA">
      <w:pPr>
        <w:ind w:firstLine="708"/>
        <w:jc w:val="both"/>
      </w:pPr>
      <w:r w:rsidRPr="006A2F78">
        <w:t>3. За периода 01.12.2014 – 30.12.2014 г. инвестиционен посредник „ФИНА-С” АД притежава 8 300 бр. акции от капитала на „Хелт енд Уелнес” АДСИЦ на обща стойност 1 842.60 лв. За периода 01.01.2013 г. до 30.06.2014 г. дружеството притежава 48 дяла от ДФ „КТБ фонд паричен пазар”, които са предявени за обратно изкупуване и заплатени от УД „КТБ Асет мениджмънт” АД.</w:t>
      </w:r>
    </w:p>
    <w:p w:rsidR="00E13E37" w:rsidRPr="006A2F78" w:rsidRDefault="00E13E37" w:rsidP="00CB23DA">
      <w:pPr>
        <w:tabs>
          <w:tab w:val="num" w:pos="1788"/>
          <w:tab w:val="num" w:pos="2880"/>
        </w:tabs>
        <w:adjustRightInd w:val="0"/>
        <w:ind w:firstLine="708"/>
        <w:jc w:val="both"/>
      </w:pPr>
      <w:r w:rsidRPr="006A2F78">
        <w:t>4. На 18.07.2014 г. извънредно общо събрание на акционерите на дружеството е взело решение за отказ на ИП „ФИНА-С” АД от дейността му като инвестиционен посредник.</w:t>
      </w:r>
    </w:p>
    <w:p w:rsidR="00E13E37" w:rsidRDefault="00E13E37" w:rsidP="00CB23DA">
      <w:pPr>
        <w:tabs>
          <w:tab w:val="num" w:pos="1788"/>
          <w:tab w:val="num" w:pos="2880"/>
        </w:tabs>
        <w:adjustRightInd w:val="0"/>
        <w:ind w:firstLine="708"/>
        <w:jc w:val="both"/>
        <w:rPr>
          <w:b/>
          <w:bCs/>
          <w:i/>
          <w:iCs/>
        </w:rPr>
      </w:pPr>
      <w:r w:rsidRPr="00787A81">
        <w:rPr>
          <w:b/>
          <w:bCs/>
          <w:i/>
          <w:iCs/>
        </w:rPr>
        <w:t xml:space="preserve">КФН е направила пълна проверка на представените доказателства за уреждане на отношенията </w:t>
      </w:r>
      <w:r w:rsidRPr="00787A81">
        <w:rPr>
          <w:b/>
          <w:bCs/>
          <w:i/>
          <w:iCs/>
          <w:u w:val="single"/>
        </w:rPr>
        <w:t>с всеки клиент на посредника</w:t>
      </w:r>
      <w:r w:rsidRPr="00787A81">
        <w:rPr>
          <w:b/>
          <w:bCs/>
          <w:i/>
          <w:iCs/>
        </w:rPr>
        <w:t>, в резултат на което е установено че отношенията с всички клиенти са уредени и на основание чл. 21, ал. 5 във вр. с чл. 20, ал. 1, изр. второ от ЗПФИ с Решение № 32-ИП от 26.01.2015 г. е отнела лиценза на ИП „ФИНА-С” АД за извършване на дейност като инвестиционен посредник. Ако решението не бъде обжалване, то ще влезе в сила на 13.02.2015 г.</w:t>
      </w:r>
    </w:p>
    <w:p w:rsidR="00E13E37" w:rsidRDefault="00E13E37">
      <w:pPr>
        <w:rPr>
          <w:b/>
          <w:bCs/>
          <w:i/>
          <w:iCs/>
        </w:rPr>
      </w:pPr>
      <w:r>
        <w:rPr>
          <w:b/>
          <w:bCs/>
          <w:i/>
          <w:iCs/>
        </w:rPr>
        <w:br w:type="page"/>
      </w:r>
    </w:p>
    <w:p w:rsidR="00E13E37" w:rsidRPr="006A2F78" w:rsidRDefault="00E13E37" w:rsidP="00787A81">
      <w:pPr>
        <w:pStyle w:val="Heading2"/>
        <w:numPr>
          <w:ilvl w:val="0"/>
          <w:numId w:val="3"/>
        </w:numPr>
        <w:tabs>
          <w:tab w:val="clear" w:pos="180"/>
          <w:tab w:val="num" w:pos="-5670"/>
        </w:tabs>
        <w:ind w:left="709"/>
      </w:pPr>
      <w:r w:rsidRPr="006A2F78">
        <w:t>Вярно ли е, че дни преди затварянето на КТБ в средата на 2014 г., но вече при разразилата се депозитна паника, самата КТБ е купувала собствените си облигации и облигациите на НУРТС, и двете емисии са търгувани на фондовата борса, вместо с наличната ликвидност да плаща на депозантите си?</w:t>
      </w:r>
    </w:p>
    <w:p w:rsidR="00E13E37" w:rsidRDefault="00E13E37" w:rsidP="00787A81">
      <w:pPr>
        <w:ind w:left="709"/>
        <w:jc w:val="both"/>
        <w:rPr>
          <w:b/>
          <w:bCs/>
          <w:color w:val="000000"/>
        </w:rPr>
      </w:pPr>
    </w:p>
    <w:p w:rsidR="00E13E37" w:rsidRPr="00787A81" w:rsidRDefault="00E13E37" w:rsidP="00F80994">
      <w:pPr>
        <w:ind w:firstLine="708"/>
        <w:jc w:val="both"/>
        <w:rPr>
          <w:b/>
          <w:bCs/>
          <w:i/>
          <w:iCs/>
          <w:color w:val="000000"/>
        </w:rPr>
      </w:pPr>
      <w:r w:rsidRPr="00787A81">
        <w:rPr>
          <w:b/>
          <w:bCs/>
          <w:i/>
          <w:iCs/>
          <w:color w:val="000000"/>
        </w:rPr>
        <w:t>„КТБ” АД не е емитирала облигационна емисия, предвид което няма как да е купувала „собствени” облигации.</w:t>
      </w:r>
    </w:p>
    <w:p w:rsidR="00E13E37" w:rsidRPr="006A2F78" w:rsidRDefault="00E13E37" w:rsidP="00F80994">
      <w:pPr>
        <w:ind w:firstLine="708"/>
        <w:jc w:val="both"/>
      </w:pPr>
      <w:r w:rsidRPr="006A2F78">
        <w:t>В отчетите на „Корпоративна търговска банка” АД, които банката представя в КФН в качеството си на публично дружество, е оповестена информация за зад</w:t>
      </w:r>
      <w:r>
        <w:t xml:space="preserve">ължения по договор за заем към </w:t>
      </w:r>
      <w:r w:rsidRPr="00787A81">
        <w:rPr>
          <w:b/>
          <w:bCs/>
        </w:rPr>
        <w:t>Northern Lights Bulgaria BV</w:t>
      </w:r>
      <w:r w:rsidRPr="006A2F78">
        <w:t xml:space="preserve"> с падеж 07 август 2014 г., а не към притежатели на ценни книжа (облигации), издадени от банката. При извършена от страна на КФН проверка се установи, че дружество </w:t>
      </w:r>
      <w:r w:rsidRPr="00787A81">
        <w:t>Northern Lights Bulgaria BV</w:t>
      </w:r>
      <w:r w:rsidRPr="006A2F78">
        <w:t xml:space="preserve"> е учредено съгласно законите на Кралство Холандия. Northern Lights Bulgaria BV е създадена като дружество със специална инвестиционна цел (SPV) за целите на събирането на средства чрез издаване на облигации, алтернативни инструменти и въвеждане в други задължения за целите на закупуване на активи и сключване на свързани с тях деривати и други договори.</w:t>
      </w:r>
    </w:p>
    <w:p w:rsidR="00E13E37" w:rsidRDefault="00E13E37" w:rsidP="00787A81">
      <w:pPr>
        <w:ind w:firstLine="709"/>
        <w:jc w:val="both"/>
      </w:pPr>
      <w:r>
        <w:t>От финансовия отчет на Northern Lights Bulgaria</w:t>
      </w:r>
      <w:r w:rsidRPr="006A2F78">
        <w:t xml:space="preserve"> BV към 31.12.2011 г. е видно, че дружеството редовно </w:t>
      </w:r>
      <w:r w:rsidRPr="00D26733">
        <w:rPr>
          <w:lang w:val="ru-RU"/>
        </w:rPr>
        <w:t xml:space="preserve">е </w:t>
      </w:r>
      <w:r w:rsidRPr="006A2F78">
        <w:t>издава</w:t>
      </w:r>
      <w:r>
        <w:t>ло</w:t>
      </w:r>
      <w:r w:rsidRPr="006A2F78">
        <w:t xml:space="preserve"> финансови инструменти във връзка с дейността му като дружество със специална инвестиционна цел, </w:t>
      </w:r>
      <w:r>
        <w:t>както е видно по-долу.</w:t>
      </w:r>
    </w:p>
    <w:tbl>
      <w:tblPr>
        <w:tblW w:w="0" w:type="auto"/>
        <w:tblInd w:w="-106" w:type="dxa"/>
        <w:tblBorders>
          <w:top w:val="single" w:sz="4" w:space="0" w:color="auto"/>
          <w:bottom w:val="single" w:sz="4" w:space="0" w:color="auto"/>
          <w:insideH w:val="single" w:sz="4" w:space="0" w:color="auto"/>
          <w:insideV w:val="single" w:sz="4" w:space="0" w:color="auto"/>
        </w:tblBorders>
        <w:tblCellMar>
          <w:top w:w="57" w:type="dxa"/>
          <w:bottom w:w="57" w:type="dxa"/>
        </w:tblCellMar>
        <w:tblLook w:val="00A0"/>
      </w:tblPr>
      <w:tblGrid>
        <w:gridCol w:w="9288"/>
      </w:tblGrid>
      <w:tr w:rsidR="00E13E37" w:rsidRPr="006A2F78">
        <w:tc>
          <w:tcPr>
            <w:tcW w:w="9288" w:type="dxa"/>
            <w:tcBorders>
              <w:top w:val="nil"/>
            </w:tcBorders>
          </w:tcPr>
          <w:p w:rsidR="00E13E37" w:rsidRPr="00D26733" w:rsidRDefault="00E13E37" w:rsidP="00787A81">
            <w:pPr>
              <w:pStyle w:val="Heading4"/>
              <w:rPr>
                <w:rFonts w:cs="Times New Roman"/>
                <w:lang w:val="ru-RU"/>
              </w:rPr>
            </w:pPr>
            <w:r w:rsidRPr="002E0AE3">
              <w:t>Таб. 3.Емисии на облигации на Northern Lights Bulgaria BV</w:t>
            </w:r>
          </w:p>
        </w:tc>
      </w:tr>
      <w:tr w:rsidR="00E13E37" w:rsidRPr="006A2F78">
        <w:tc>
          <w:tcPr>
            <w:tcW w:w="9288" w:type="dxa"/>
          </w:tcPr>
          <w:p w:rsidR="00E13E37" w:rsidRPr="006A2F78" w:rsidRDefault="00E13E37" w:rsidP="002E0AE3">
            <w:pPr>
              <w:jc w:val="both"/>
            </w:pPr>
            <w:r w:rsidRPr="00467FB5">
              <w:rPr>
                <w:noProof/>
              </w:rPr>
              <w:pict>
                <v:shape id="Picture 1" o:spid="_x0000_i1027" type="#_x0000_t75" style="width:440.25pt;height:86.25pt;visibility:visible">
                  <v:imagedata r:id="rId10" o:title=""/>
                </v:shape>
              </w:pict>
            </w:r>
          </w:p>
        </w:tc>
      </w:tr>
      <w:tr w:rsidR="00E13E37" w:rsidRPr="006A2F78">
        <w:tc>
          <w:tcPr>
            <w:tcW w:w="9288" w:type="dxa"/>
            <w:tcBorders>
              <w:bottom w:val="nil"/>
            </w:tcBorders>
          </w:tcPr>
          <w:p w:rsidR="00E13E37" w:rsidRPr="00787A81" w:rsidRDefault="00E13E37" w:rsidP="002E0AE3">
            <w:pPr>
              <w:jc w:val="both"/>
            </w:pPr>
            <w:r w:rsidRPr="002E0AE3">
              <w:rPr>
                <w:i/>
                <w:iCs/>
                <w:sz w:val="18"/>
                <w:szCs w:val="18"/>
              </w:rPr>
              <w:t>Източник</w:t>
            </w:r>
            <w:r w:rsidRPr="00D26733">
              <w:rPr>
                <w:i/>
                <w:iCs/>
                <w:sz w:val="18"/>
                <w:szCs w:val="18"/>
                <w:lang w:val="ru-RU"/>
              </w:rPr>
              <w:t xml:space="preserve"> Финансов отчет за 2011г.</w:t>
            </w:r>
          </w:p>
        </w:tc>
      </w:tr>
    </w:tbl>
    <w:p w:rsidR="00E13E37" w:rsidRPr="006A2F78" w:rsidRDefault="00E13E37" w:rsidP="00F80994">
      <w:pPr>
        <w:jc w:val="both"/>
      </w:pPr>
    </w:p>
    <w:p w:rsidR="00E13E37" w:rsidRDefault="00E13E37" w:rsidP="007E0DA8">
      <w:pPr>
        <w:ind w:firstLine="709"/>
        <w:jc w:val="both"/>
      </w:pPr>
      <w:r>
        <w:t>През октомври 2012 г. Northern Lights Bulgaria</w:t>
      </w:r>
      <w:r w:rsidRPr="006A2F78">
        <w:t xml:space="preserve"> BV издава нова емисия финансови инструменти с фиксиран доход, които позволяват на инвеститорите да купуват части от заеми или пакети от заеми (Loan Participation Note - LPN) в общ размер на 150 000 000 USD.</w:t>
      </w:r>
      <w:r>
        <w:t xml:space="preserve"> </w:t>
      </w:r>
      <w:r w:rsidRPr="006A2F78">
        <w:t xml:space="preserve">Проспектът е одобрен от </w:t>
      </w:r>
      <w:r w:rsidRPr="006A2F78">
        <w:rPr>
          <w:b/>
          <w:bCs/>
        </w:rPr>
        <w:t>Централната банка на Ирландия</w:t>
      </w:r>
      <w:r w:rsidRPr="006A2F78">
        <w:t>, която е компетентен орган по силата на Директива 2003/71/ЕО ("Директивата за проспектите"). С одобряването на Проспекта</w:t>
      </w:r>
      <w:r>
        <w:t>, Централната банка на Ирландия</w:t>
      </w:r>
      <w:r w:rsidRPr="006A2F78">
        <w:t xml:space="preserve"> удостоверява</w:t>
      </w:r>
      <w:r>
        <w:t>,</w:t>
      </w:r>
      <w:r w:rsidRPr="006A2F78">
        <w:t xml:space="preserve"> че той отговаря на изискванията, наложени в съответствие с ирландското и право на ЕС в съответствие с Директивата за проспектите. </w:t>
      </w:r>
      <w:r>
        <w:t xml:space="preserve"> </w:t>
      </w:r>
    </w:p>
    <w:p w:rsidR="00E13E37" w:rsidRPr="0081691A" w:rsidRDefault="00E13E37" w:rsidP="007E0DA8">
      <w:pPr>
        <w:tabs>
          <w:tab w:val="left" w:pos="0"/>
        </w:tabs>
        <w:ind w:firstLine="709"/>
        <w:jc w:val="both"/>
        <w:rPr>
          <w:b/>
          <w:bCs/>
        </w:rPr>
      </w:pPr>
      <w:r w:rsidRPr="0081691A">
        <w:rPr>
          <w:b/>
          <w:bCs/>
        </w:rPr>
        <w:t xml:space="preserve">На ценните книжа при издаването им е присъден рейтинг от Moody's Investors Service Limited - Ba3. </w:t>
      </w:r>
    </w:p>
    <w:p w:rsidR="00E13E37" w:rsidRPr="006A2F78" w:rsidRDefault="00E13E37" w:rsidP="007E0DA8">
      <w:pPr>
        <w:ind w:firstLine="709"/>
        <w:jc w:val="both"/>
      </w:pPr>
      <w:r w:rsidRPr="006A2F78">
        <w:t xml:space="preserve">Емисията е допусната за търговия на </w:t>
      </w:r>
      <w:r>
        <w:rPr>
          <w:b/>
          <w:bCs/>
        </w:rPr>
        <w:t>И</w:t>
      </w:r>
      <w:r w:rsidRPr="006A2F78">
        <w:rPr>
          <w:b/>
          <w:bCs/>
        </w:rPr>
        <w:t>рландската фондова борса</w:t>
      </w:r>
      <w:r w:rsidRPr="006A2F78">
        <w:t>.</w:t>
      </w:r>
    </w:p>
    <w:p w:rsidR="00E13E37" w:rsidRDefault="00E13E37" w:rsidP="00787A81">
      <w:pPr>
        <w:tabs>
          <w:tab w:val="left" w:pos="0"/>
        </w:tabs>
        <w:ind w:firstLine="709"/>
        <w:jc w:val="both"/>
      </w:pPr>
      <w:r w:rsidRPr="006A2F78">
        <w:t xml:space="preserve">В Проспекта е посочено, че инструментите се издават с цел за финансиране на закупуване на правата и задълженията на Първоначалния кредитор (видно от приложените към проспекта документи - </w:t>
      </w:r>
      <w:r w:rsidRPr="006A2F78">
        <w:rPr>
          <w:b/>
          <w:bCs/>
        </w:rPr>
        <w:t>VTB Capital PLC</w:t>
      </w:r>
      <w:r w:rsidRPr="006A2F78">
        <w:t xml:space="preserve">) и финансирането на допълнителен ресурс по заем за </w:t>
      </w:r>
      <w:r w:rsidRPr="006A2F78">
        <w:rPr>
          <w:b/>
          <w:bCs/>
        </w:rPr>
        <w:t>Корпоративна търговска банка АД</w:t>
      </w:r>
      <w:r w:rsidRPr="006A2F78">
        <w:t xml:space="preserve"> по силата на договор за заем от 07 Август 2012 г. Посочено е също така, че използване на постъпленията от емисията е с единствената цел за финансиране на покупката от Емитента от Първоначалния кредитор на правата на първоначалният кредитор и задължения по кредита, както и финансирането на допълнителен ресурс по кредита.</w:t>
      </w:r>
    </w:p>
    <w:p w:rsidR="00E13E37" w:rsidRPr="006A2F78" w:rsidRDefault="00E13E37" w:rsidP="00787A81">
      <w:pPr>
        <w:tabs>
          <w:tab w:val="left" w:pos="0"/>
        </w:tabs>
        <w:ind w:firstLine="709"/>
        <w:jc w:val="both"/>
      </w:pPr>
      <w:r w:rsidRPr="006A2F78">
        <w:t xml:space="preserve">От изложеното и от данните във финансовите отчети на „Корпоративна търговска банка” АД, може да се направи заключение, че със средствата, набрани от емитирането на ценните книжа е извършено рефинансиране (или по-скоро </w:t>
      </w:r>
      <w:r>
        <w:t>секюритизиране) от страна на Northern Lights Bulgaria BV</w:t>
      </w:r>
      <w:r w:rsidRPr="006A2F78">
        <w:t xml:space="preserve"> на заем</w:t>
      </w:r>
      <w:r w:rsidRPr="00D26733">
        <w:rPr>
          <w:lang w:val="ru-RU"/>
        </w:rPr>
        <w:t>,</w:t>
      </w:r>
      <w:r w:rsidRPr="006A2F78">
        <w:t xml:space="preserve"> отпуснат първоначално от VTB Capital PLC на Корпоративна търговска банка АД.</w:t>
      </w:r>
    </w:p>
    <w:p w:rsidR="00E13E37" w:rsidRPr="007E0DA8" w:rsidRDefault="00E13E37" w:rsidP="00787A81">
      <w:pPr>
        <w:ind w:firstLine="709"/>
        <w:jc w:val="both"/>
        <w:rPr>
          <w:b/>
          <w:bCs/>
          <w:i/>
          <w:iCs/>
        </w:rPr>
      </w:pPr>
      <w:r w:rsidRPr="007E0DA8">
        <w:rPr>
          <w:b/>
          <w:bCs/>
          <w:i/>
          <w:iCs/>
        </w:rPr>
        <w:t>От гореизложеното е видно, че „Корпоративна търговска банка” АД не е издавала емисия облигации, т.е. „Корпоративна търговска банка” АД няма качеството на емитент на описаните по-горе ценни книжа.</w:t>
      </w:r>
    </w:p>
    <w:p w:rsidR="00E13E37" w:rsidRPr="007E0DA8" w:rsidRDefault="00E13E37" w:rsidP="00787A81">
      <w:pPr>
        <w:ind w:firstLine="709"/>
        <w:jc w:val="both"/>
        <w:rPr>
          <w:b/>
          <w:bCs/>
          <w:i/>
          <w:iCs/>
        </w:rPr>
      </w:pPr>
      <w:r w:rsidRPr="007E0DA8">
        <w:rPr>
          <w:b/>
          <w:bCs/>
          <w:i/>
          <w:iCs/>
        </w:rPr>
        <w:t>Комисията за финансов надзор няма отношение по издадена</w:t>
      </w:r>
      <w:r>
        <w:rPr>
          <w:b/>
          <w:bCs/>
          <w:i/>
          <w:iCs/>
        </w:rPr>
        <w:t>та от Northern Lights Bulgaria</w:t>
      </w:r>
      <w:r w:rsidRPr="007E0DA8">
        <w:rPr>
          <w:b/>
          <w:bCs/>
          <w:i/>
          <w:iCs/>
        </w:rPr>
        <w:t xml:space="preserve"> BV емисия ценни книжа, доколкото емитентът не е дружество регистрирано в България, както и доколкото в КФН не е постъпвало заявление за одобрение проспект. </w:t>
      </w:r>
    </w:p>
    <w:p w:rsidR="00E13E37" w:rsidRPr="006A2F78" w:rsidRDefault="00E13E37" w:rsidP="00787A81">
      <w:pPr>
        <w:ind w:firstLine="709"/>
        <w:jc w:val="both"/>
      </w:pPr>
      <w:r>
        <w:t>Съгласно дейст</w:t>
      </w:r>
      <w:r w:rsidRPr="006A2F78">
        <w:t xml:space="preserve">ващото в ЕС законодателство дружество, регистрирано в страна членка може да извърши публично предлагане или допускане до търговия на ценни книжа, като за целта изготви и представи за одобрение проспект чрез регулаторния орган в страната по регистрацията му или в друга страна членка на ЕС, като съответно избере страната по регистрация за изпращаща държава. Също така потвърден от един регулаторен орган проспект може да бъде допуснат до търговия на регулиран пазар в друга държава членка чрез нотификация, включително по този начин да бъде търгуван на няколко регулирани пазари. </w:t>
      </w:r>
    </w:p>
    <w:p w:rsidR="00E13E37" w:rsidRPr="0081691A" w:rsidRDefault="00E13E37" w:rsidP="007E0DA8">
      <w:pPr>
        <w:ind w:firstLine="709"/>
        <w:jc w:val="both"/>
        <w:rPr>
          <w:b/>
          <w:bCs/>
          <w:color w:val="000000"/>
        </w:rPr>
      </w:pPr>
      <w:r w:rsidRPr="0081691A">
        <w:rPr>
          <w:b/>
          <w:bCs/>
        </w:rPr>
        <w:t>В конкретния случай с Northern Lights Bulgaria BV, българската Комисия за финансов надзор не е надзорен орган по емисията ценни книжа, защото не попада в нито една от хипотезите описани по-горе.</w:t>
      </w:r>
    </w:p>
    <w:p w:rsidR="00E13E37" w:rsidRDefault="00E13E37" w:rsidP="007E0DA8">
      <w:pPr>
        <w:ind w:firstLine="709"/>
        <w:jc w:val="both"/>
        <w:rPr>
          <w:color w:val="000000"/>
        </w:rPr>
      </w:pPr>
      <w:r w:rsidRPr="006A2F78">
        <w:rPr>
          <w:color w:val="000000"/>
        </w:rPr>
        <w:t xml:space="preserve">По отношение на покупката на облигации от други емисии от страна на КТБ, може да се посочи, че съгласно данните постъпили в КФН за осъществената търговия за собствена сметка за месец юни 2014 г., банката е закупила 1 576 броя облигации от емисията на „Хелт енд Уелнес” АДСИЦ на стойност 1 610 129 лева, 1 219 броя облигации от емисията на „НУРТС БЪЛГАРИЯ” АД на стойност 1 235 862 лева и 2 138 броя облигации от емисията на „Гипс” АД, Кошава на стойност 2 172 676 лева или общо покупки на стойност </w:t>
      </w:r>
      <w:r w:rsidRPr="006A2F78">
        <w:rPr>
          <w:b/>
          <w:bCs/>
          <w:color w:val="000000"/>
        </w:rPr>
        <w:t>5 018 667</w:t>
      </w:r>
      <w:r w:rsidRPr="006A2F78">
        <w:rPr>
          <w:color w:val="000000"/>
        </w:rPr>
        <w:t xml:space="preserve"> лева. Същевременно са продадени през месец юни 2014 г. - 2 685 542 броя акции от капитала на „Петрол” АД, на стойност </w:t>
      </w:r>
      <w:r w:rsidRPr="006A2F78">
        <w:rPr>
          <w:b/>
          <w:bCs/>
          <w:color w:val="000000"/>
        </w:rPr>
        <w:t>12 020 486</w:t>
      </w:r>
      <w:r w:rsidRPr="006A2F78">
        <w:rPr>
          <w:color w:val="000000"/>
        </w:rPr>
        <w:t xml:space="preserve"> лева.</w:t>
      </w:r>
    </w:p>
    <w:p w:rsidR="00E13E37" w:rsidRPr="007E0DA8" w:rsidRDefault="00E13E37" w:rsidP="007E0DA8">
      <w:pPr>
        <w:ind w:firstLine="709"/>
        <w:jc w:val="both"/>
        <w:rPr>
          <w:b/>
          <w:bCs/>
          <w:i/>
          <w:iCs/>
          <w:color w:val="000000"/>
        </w:rPr>
      </w:pPr>
      <w:r w:rsidRPr="007E0DA8">
        <w:rPr>
          <w:b/>
          <w:bCs/>
          <w:i/>
          <w:iCs/>
        </w:rPr>
        <w:t xml:space="preserve">От посочената информация е видно, че при управление на притежавания от „КТБ” АД портфейл финансови инструменти през месец </w:t>
      </w:r>
      <w:r w:rsidRPr="007E0DA8">
        <w:rPr>
          <w:b/>
          <w:bCs/>
          <w:i/>
          <w:iCs/>
          <w:color w:val="000000"/>
        </w:rPr>
        <w:t>юни 2014 г. постъпленията от продажби на финансови инструменти за собствена сметка надвишават с 7 001 819 лева, разходите за покупка на финансови инструменти за собствена сметка, предвид което ликвидните проблеми на банката възникнали към 20.06.2014 г. не се дължат на осъществени сделки на финансовия пазар.</w:t>
      </w:r>
    </w:p>
    <w:p w:rsidR="00E13E37" w:rsidRPr="006A2F78" w:rsidRDefault="00E13E37" w:rsidP="00F80994">
      <w:pPr>
        <w:spacing w:before="100" w:beforeAutospacing="1" w:after="100" w:afterAutospacing="1"/>
        <w:jc w:val="both"/>
      </w:pPr>
    </w:p>
    <w:p w:rsidR="00E13E37" w:rsidRPr="006A2F78" w:rsidRDefault="00E13E37" w:rsidP="00F80994">
      <w:pPr>
        <w:spacing w:before="100" w:beforeAutospacing="1" w:after="100" w:afterAutospacing="1" w:line="270" w:lineRule="atLeast"/>
        <w:jc w:val="both"/>
      </w:pPr>
    </w:p>
    <w:sectPr w:rsidR="00E13E37" w:rsidRPr="006A2F78" w:rsidSect="00005AB4">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E37" w:rsidRDefault="00E13E37">
      <w:r>
        <w:separator/>
      </w:r>
    </w:p>
  </w:endnote>
  <w:endnote w:type="continuationSeparator" w:id="1">
    <w:p w:rsidR="00E13E37" w:rsidRDefault="00E13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37" w:rsidRDefault="00E13E37" w:rsidP="007D622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13E37" w:rsidRDefault="00E13E37" w:rsidP="0010156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E37" w:rsidRDefault="00E13E37">
      <w:r>
        <w:separator/>
      </w:r>
    </w:p>
  </w:footnote>
  <w:footnote w:type="continuationSeparator" w:id="1">
    <w:p w:rsidR="00E13E37" w:rsidRDefault="00E13E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D2A"/>
    <w:multiLevelType w:val="hybridMultilevel"/>
    <w:tmpl w:val="F600182C"/>
    <w:lvl w:ilvl="0" w:tplc="B9489ACC">
      <w:start w:val="1"/>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03F738F6"/>
    <w:multiLevelType w:val="hybridMultilevel"/>
    <w:tmpl w:val="D406A69E"/>
    <w:lvl w:ilvl="0" w:tplc="04020005">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2">
    <w:nsid w:val="11092B71"/>
    <w:multiLevelType w:val="hybridMultilevel"/>
    <w:tmpl w:val="6A7EC95C"/>
    <w:lvl w:ilvl="0" w:tplc="626EA7F2">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3">
    <w:nsid w:val="11761F32"/>
    <w:multiLevelType w:val="multilevel"/>
    <w:tmpl w:val="0402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
    <w:nsid w:val="16230119"/>
    <w:multiLevelType w:val="hybridMultilevel"/>
    <w:tmpl w:val="1C4037A2"/>
    <w:lvl w:ilvl="0" w:tplc="BF2C984C">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5">
    <w:nsid w:val="1FFE792A"/>
    <w:multiLevelType w:val="hybridMultilevel"/>
    <w:tmpl w:val="346221AC"/>
    <w:lvl w:ilvl="0" w:tplc="04020005">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6">
    <w:nsid w:val="202F7305"/>
    <w:multiLevelType w:val="hybridMultilevel"/>
    <w:tmpl w:val="B4C0A93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nsid w:val="21D646DC"/>
    <w:multiLevelType w:val="hybridMultilevel"/>
    <w:tmpl w:val="302A4336"/>
    <w:lvl w:ilvl="0" w:tplc="04020001">
      <w:start w:val="1"/>
      <w:numFmt w:val="bullet"/>
      <w:lvlText w:val=""/>
      <w:lvlJc w:val="left"/>
      <w:pPr>
        <w:ind w:left="1571" w:hanging="360"/>
      </w:pPr>
      <w:rPr>
        <w:rFonts w:ascii="Symbol" w:hAnsi="Symbol" w:cs="Symbol"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cs="Wingdings" w:hint="default"/>
      </w:rPr>
    </w:lvl>
    <w:lvl w:ilvl="3" w:tplc="04020001">
      <w:start w:val="1"/>
      <w:numFmt w:val="bullet"/>
      <w:lvlText w:val=""/>
      <w:lvlJc w:val="left"/>
      <w:pPr>
        <w:ind w:left="3731" w:hanging="360"/>
      </w:pPr>
      <w:rPr>
        <w:rFonts w:ascii="Symbol" w:hAnsi="Symbol" w:cs="Symbol" w:hint="default"/>
      </w:rPr>
    </w:lvl>
    <w:lvl w:ilvl="4" w:tplc="04020003">
      <w:start w:val="1"/>
      <w:numFmt w:val="bullet"/>
      <w:lvlText w:val="o"/>
      <w:lvlJc w:val="left"/>
      <w:pPr>
        <w:ind w:left="4451" w:hanging="360"/>
      </w:pPr>
      <w:rPr>
        <w:rFonts w:ascii="Courier New" w:hAnsi="Courier New" w:cs="Courier New" w:hint="default"/>
      </w:rPr>
    </w:lvl>
    <w:lvl w:ilvl="5" w:tplc="04020005">
      <w:start w:val="1"/>
      <w:numFmt w:val="bullet"/>
      <w:lvlText w:val=""/>
      <w:lvlJc w:val="left"/>
      <w:pPr>
        <w:ind w:left="5171" w:hanging="360"/>
      </w:pPr>
      <w:rPr>
        <w:rFonts w:ascii="Wingdings" w:hAnsi="Wingdings" w:cs="Wingdings" w:hint="default"/>
      </w:rPr>
    </w:lvl>
    <w:lvl w:ilvl="6" w:tplc="04020001">
      <w:start w:val="1"/>
      <w:numFmt w:val="bullet"/>
      <w:lvlText w:val=""/>
      <w:lvlJc w:val="left"/>
      <w:pPr>
        <w:ind w:left="5891" w:hanging="360"/>
      </w:pPr>
      <w:rPr>
        <w:rFonts w:ascii="Symbol" w:hAnsi="Symbol" w:cs="Symbol" w:hint="default"/>
      </w:rPr>
    </w:lvl>
    <w:lvl w:ilvl="7" w:tplc="04020003">
      <w:start w:val="1"/>
      <w:numFmt w:val="bullet"/>
      <w:lvlText w:val="o"/>
      <w:lvlJc w:val="left"/>
      <w:pPr>
        <w:ind w:left="6611" w:hanging="360"/>
      </w:pPr>
      <w:rPr>
        <w:rFonts w:ascii="Courier New" w:hAnsi="Courier New" w:cs="Courier New" w:hint="default"/>
      </w:rPr>
    </w:lvl>
    <w:lvl w:ilvl="8" w:tplc="04020005">
      <w:start w:val="1"/>
      <w:numFmt w:val="bullet"/>
      <w:lvlText w:val=""/>
      <w:lvlJc w:val="left"/>
      <w:pPr>
        <w:ind w:left="7331" w:hanging="360"/>
      </w:pPr>
      <w:rPr>
        <w:rFonts w:ascii="Wingdings" w:hAnsi="Wingdings" w:cs="Wingdings" w:hint="default"/>
      </w:rPr>
    </w:lvl>
  </w:abstractNum>
  <w:abstractNum w:abstractNumId="8">
    <w:nsid w:val="30057312"/>
    <w:multiLevelType w:val="multilevel"/>
    <w:tmpl w:val="0402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9">
    <w:nsid w:val="30B1281D"/>
    <w:multiLevelType w:val="multilevel"/>
    <w:tmpl w:val="0402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0">
    <w:nsid w:val="312215A6"/>
    <w:multiLevelType w:val="hybridMultilevel"/>
    <w:tmpl w:val="9A343EC2"/>
    <w:lvl w:ilvl="0" w:tplc="0358ADCA">
      <w:numFmt w:val="bullet"/>
      <w:lvlText w:val="-"/>
      <w:lvlJc w:val="left"/>
      <w:pPr>
        <w:ind w:left="1065" w:hanging="360"/>
      </w:pPr>
      <w:rPr>
        <w:rFonts w:ascii="Times New Roman" w:eastAsia="Times New Roman" w:hAnsi="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cs="Wingdings" w:hint="default"/>
      </w:rPr>
    </w:lvl>
    <w:lvl w:ilvl="3" w:tplc="04020001">
      <w:start w:val="1"/>
      <w:numFmt w:val="bullet"/>
      <w:lvlText w:val=""/>
      <w:lvlJc w:val="left"/>
      <w:pPr>
        <w:ind w:left="3225" w:hanging="360"/>
      </w:pPr>
      <w:rPr>
        <w:rFonts w:ascii="Symbol" w:hAnsi="Symbol" w:cs="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cs="Wingdings" w:hint="default"/>
      </w:rPr>
    </w:lvl>
    <w:lvl w:ilvl="6" w:tplc="04020001">
      <w:start w:val="1"/>
      <w:numFmt w:val="bullet"/>
      <w:lvlText w:val=""/>
      <w:lvlJc w:val="left"/>
      <w:pPr>
        <w:ind w:left="5385" w:hanging="360"/>
      </w:pPr>
      <w:rPr>
        <w:rFonts w:ascii="Symbol" w:hAnsi="Symbol" w:cs="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cs="Wingdings" w:hint="default"/>
      </w:rPr>
    </w:lvl>
  </w:abstractNum>
  <w:abstractNum w:abstractNumId="11">
    <w:nsid w:val="39A37221"/>
    <w:multiLevelType w:val="hybridMultilevel"/>
    <w:tmpl w:val="CFAC6F22"/>
    <w:lvl w:ilvl="0" w:tplc="3AD8F5FE">
      <w:start w:val="1"/>
      <w:numFmt w:val="decimal"/>
      <w:lvlText w:val="%1."/>
      <w:lvlJc w:val="left"/>
      <w:pPr>
        <w:tabs>
          <w:tab w:val="num" w:pos="180"/>
        </w:tabs>
        <w:ind w:left="180" w:hanging="360"/>
      </w:pPr>
      <w:rPr>
        <w:rFonts w:hint="default"/>
      </w:rPr>
    </w:lvl>
    <w:lvl w:ilvl="1" w:tplc="04020019">
      <w:start w:val="1"/>
      <w:numFmt w:val="lowerLetter"/>
      <w:lvlText w:val="%2."/>
      <w:lvlJc w:val="left"/>
      <w:pPr>
        <w:tabs>
          <w:tab w:val="num" w:pos="900"/>
        </w:tabs>
        <w:ind w:left="900" w:hanging="360"/>
      </w:pPr>
    </w:lvl>
    <w:lvl w:ilvl="2" w:tplc="0402001B">
      <w:start w:val="1"/>
      <w:numFmt w:val="lowerRoman"/>
      <w:lvlText w:val="%3."/>
      <w:lvlJc w:val="right"/>
      <w:pPr>
        <w:tabs>
          <w:tab w:val="num" w:pos="1620"/>
        </w:tabs>
        <w:ind w:left="1620" w:hanging="180"/>
      </w:pPr>
    </w:lvl>
    <w:lvl w:ilvl="3" w:tplc="0402000F">
      <w:start w:val="1"/>
      <w:numFmt w:val="decimal"/>
      <w:lvlText w:val="%4."/>
      <w:lvlJc w:val="left"/>
      <w:pPr>
        <w:tabs>
          <w:tab w:val="num" w:pos="2340"/>
        </w:tabs>
        <w:ind w:left="2340" w:hanging="360"/>
      </w:pPr>
    </w:lvl>
    <w:lvl w:ilvl="4" w:tplc="04020019">
      <w:start w:val="1"/>
      <w:numFmt w:val="lowerLetter"/>
      <w:lvlText w:val="%5."/>
      <w:lvlJc w:val="left"/>
      <w:pPr>
        <w:tabs>
          <w:tab w:val="num" w:pos="3060"/>
        </w:tabs>
        <w:ind w:left="3060" w:hanging="360"/>
      </w:pPr>
    </w:lvl>
    <w:lvl w:ilvl="5" w:tplc="0402001B">
      <w:start w:val="1"/>
      <w:numFmt w:val="lowerRoman"/>
      <w:lvlText w:val="%6."/>
      <w:lvlJc w:val="right"/>
      <w:pPr>
        <w:tabs>
          <w:tab w:val="num" w:pos="3780"/>
        </w:tabs>
        <w:ind w:left="3780" w:hanging="180"/>
      </w:pPr>
    </w:lvl>
    <w:lvl w:ilvl="6" w:tplc="0402000F">
      <w:start w:val="1"/>
      <w:numFmt w:val="decimal"/>
      <w:lvlText w:val="%7."/>
      <w:lvlJc w:val="left"/>
      <w:pPr>
        <w:tabs>
          <w:tab w:val="num" w:pos="4500"/>
        </w:tabs>
        <w:ind w:left="4500" w:hanging="360"/>
      </w:pPr>
    </w:lvl>
    <w:lvl w:ilvl="7" w:tplc="04020019">
      <w:start w:val="1"/>
      <w:numFmt w:val="lowerLetter"/>
      <w:lvlText w:val="%8."/>
      <w:lvlJc w:val="left"/>
      <w:pPr>
        <w:tabs>
          <w:tab w:val="num" w:pos="5220"/>
        </w:tabs>
        <w:ind w:left="5220" w:hanging="360"/>
      </w:pPr>
    </w:lvl>
    <w:lvl w:ilvl="8" w:tplc="0402001B">
      <w:start w:val="1"/>
      <w:numFmt w:val="lowerRoman"/>
      <w:lvlText w:val="%9."/>
      <w:lvlJc w:val="right"/>
      <w:pPr>
        <w:tabs>
          <w:tab w:val="num" w:pos="5940"/>
        </w:tabs>
        <w:ind w:left="5940" w:hanging="180"/>
      </w:pPr>
    </w:lvl>
  </w:abstractNum>
  <w:abstractNum w:abstractNumId="12">
    <w:nsid w:val="3AED57D5"/>
    <w:multiLevelType w:val="hybridMultilevel"/>
    <w:tmpl w:val="24426044"/>
    <w:lvl w:ilvl="0" w:tplc="0DE8E16A">
      <w:start w:val="10"/>
      <w:numFmt w:val="bullet"/>
      <w:lvlText w:val="-"/>
      <w:lvlJc w:val="left"/>
      <w:pPr>
        <w:ind w:left="1069" w:hanging="360"/>
      </w:pPr>
      <w:rPr>
        <w:rFonts w:ascii="Times New Roman" w:eastAsia="Times New Roman" w:hAnsi="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cs="Wingdings" w:hint="default"/>
      </w:rPr>
    </w:lvl>
    <w:lvl w:ilvl="3" w:tplc="04020001">
      <w:start w:val="1"/>
      <w:numFmt w:val="bullet"/>
      <w:lvlText w:val=""/>
      <w:lvlJc w:val="left"/>
      <w:pPr>
        <w:ind w:left="3229" w:hanging="360"/>
      </w:pPr>
      <w:rPr>
        <w:rFonts w:ascii="Symbol" w:hAnsi="Symbol" w:cs="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cs="Wingdings" w:hint="default"/>
      </w:rPr>
    </w:lvl>
    <w:lvl w:ilvl="6" w:tplc="04020001">
      <w:start w:val="1"/>
      <w:numFmt w:val="bullet"/>
      <w:lvlText w:val=""/>
      <w:lvlJc w:val="left"/>
      <w:pPr>
        <w:ind w:left="5389" w:hanging="360"/>
      </w:pPr>
      <w:rPr>
        <w:rFonts w:ascii="Symbol" w:hAnsi="Symbol" w:cs="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cs="Wingdings" w:hint="default"/>
      </w:rPr>
    </w:lvl>
  </w:abstractNum>
  <w:abstractNum w:abstractNumId="13">
    <w:nsid w:val="3B237055"/>
    <w:multiLevelType w:val="hybridMultilevel"/>
    <w:tmpl w:val="1D7EE460"/>
    <w:lvl w:ilvl="0" w:tplc="4282E8F2">
      <w:start w:val="1"/>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nsid w:val="45AE6DD3"/>
    <w:multiLevelType w:val="multilevel"/>
    <w:tmpl w:val="04020021"/>
    <w:lvl w:ilvl="0">
      <w:start w:val="1"/>
      <w:numFmt w:val="bullet"/>
      <w:lvlText w:val=""/>
      <w:lvlJc w:val="left"/>
      <w:pPr>
        <w:ind w:left="1068" w:hanging="360"/>
      </w:pPr>
      <w:rPr>
        <w:rFonts w:ascii="Wingdings" w:hAnsi="Wingdings" w:cs="Wingdings" w:hint="default"/>
      </w:rPr>
    </w:lvl>
    <w:lvl w:ilvl="1">
      <w:start w:val="1"/>
      <w:numFmt w:val="bullet"/>
      <w:lvlText w:val=""/>
      <w:lvlJc w:val="left"/>
      <w:pPr>
        <w:ind w:left="1428" w:hanging="360"/>
      </w:pPr>
      <w:rPr>
        <w:rFonts w:ascii="Wingdings" w:hAnsi="Wingdings" w:cs="Wingdings" w:hint="default"/>
      </w:rPr>
    </w:lvl>
    <w:lvl w:ilvl="2">
      <w:start w:val="1"/>
      <w:numFmt w:val="bullet"/>
      <w:lvlText w:val=""/>
      <w:lvlJc w:val="left"/>
      <w:pPr>
        <w:ind w:left="1788" w:hanging="360"/>
      </w:pPr>
      <w:rPr>
        <w:rFonts w:ascii="Wingdings" w:hAnsi="Wingdings" w:cs="Wingdings" w:hint="default"/>
      </w:rPr>
    </w:lvl>
    <w:lvl w:ilvl="3">
      <w:start w:val="1"/>
      <w:numFmt w:val="bullet"/>
      <w:lvlText w:val=""/>
      <w:lvlJc w:val="left"/>
      <w:pPr>
        <w:ind w:left="2148" w:hanging="360"/>
      </w:pPr>
      <w:rPr>
        <w:rFonts w:ascii="Symbol" w:hAnsi="Symbol" w:cs="Symbol" w:hint="default"/>
      </w:rPr>
    </w:lvl>
    <w:lvl w:ilvl="4">
      <w:start w:val="1"/>
      <w:numFmt w:val="bullet"/>
      <w:lvlText w:val=""/>
      <w:lvlJc w:val="left"/>
      <w:pPr>
        <w:ind w:left="2508" w:hanging="360"/>
      </w:pPr>
      <w:rPr>
        <w:rFonts w:ascii="Symbol" w:hAnsi="Symbol" w:cs="Symbol" w:hint="default"/>
      </w:rPr>
    </w:lvl>
    <w:lvl w:ilvl="5">
      <w:start w:val="1"/>
      <w:numFmt w:val="bullet"/>
      <w:lvlText w:val=""/>
      <w:lvlJc w:val="left"/>
      <w:pPr>
        <w:ind w:left="2868" w:hanging="360"/>
      </w:pPr>
      <w:rPr>
        <w:rFonts w:ascii="Wingdings" w:hAnsi="Wingdings" w:cs="Wingdings" w:hint="default"/>
      </w:rPr>
    </w:lvl>
    <w:lvl w:ilvl="6">
      <w:start w:val="1"/>
      <w:numFmt w:val="bullet"/>
      <w:lvlText w:val=""/>
      <w:lvlJc w:val="left"/>
      <w:pPr>
        <w:ind w:left="3228" w:hanging="360"/>
      </w:pPr>
      <w:rPr>
        <w:rFonts w:ascii="Wingdings" w:hAnsi="Wingdings" w:cs="Wingdings" w:hint="default"/>
      </w:rPr>
    </w:lvl>
    <w:lvl w:ilvl="7">
      <w:start w:val="1"/>
      <w:numFmt w:val="bullet"/>
      <w:lvlText w:val=""/>
      <w:lvlJc w:val="left"/>
      <w:pPr>
        <w:ind w:left="3588" w:hanging="360"/>
      </w:pPr>
      <w:rPr>
        <w:rFonts w:ascii="Symbol" w:hAnsi="Symbol" w:cs="Symbol" w:hint="default"/>
      </w:rPr>
    </w:lvl>
    <w:lvl w:ilvl="8">
      <w:start w:val="1"/>
      <w:numFmt w:val="bullet"/>
      <w:lvlText w:val=""/>
      <w:lvlJc w:val="left"/>
      <w:pPr>
        <w:ind w:left="3948" w:hanging="360"/>
      </w:pPr>
      <w:rPr>
        <w:rFonts w:ascii="Symbol" w:hAnsi="Symbol" w:cs="Symbol" w:hint="default"/>
      </w:rPr>
    </w:lvl>
  </w:abstractNum>
  <w:abstractNum w:abstractNumId="15">
    <w:nsid w:val="4D5F69E6"/>
    <w:multiLevelType w:val="hybridMultilevel"/>
    <w:tmpl w:val="21EE018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nsid w:val="5039601E"/>
    <w:multiLevelType w:val="hybridMultilevel"/>
    <w:tmpl w:val="32660082"/>
    <w:lvl w:ilvl="0" w:tplc="04020001">
      <w:start w:val="1"/>
      <w:numFmt w:val="bullet"/>
      <w:lvlText w:val=""/>
      <w:lvlJc w:val="left"/>
      <w:pPr>
        <w:ind w:left="1571" w:hanging="360"/>
      </w:pPr>
      <w:rPr>
        <w:rFonts w:ascii="Symbol" w:hAnsi="Symbol" w:cs="Symbol"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cs="Wingdings" w:hint="default"/>
      </w:rPr>
    </w:lvl>
    <w:lvl w:ilvl="3" w:tplc="04020001">
      <w:start w:val="1"/>
      <w:numFmt w:val="bullet"/>
      <w:lvlText w:val=""/>
      <w:lvlJc w:val="left"/>
      <w:pPr>
        <w:ind w:left="3731" w:hanging="360"/>
      </w:pPr>
      <w:rPr>
        <w:rFonts w:ascii="Symbol" w:hAnsi="Symbol" w:cs="Symbol" w:hint="default"/>
      </w:rPr>
    </w:lvl>
    <w:lvl w:ilvl="4" w:tplc="04020003">
      <w:start w:val="1"/>
      <w:numFmt w:val="bullet"/>
      <w:lvlText w:val="o"/>
      <w:lvlJc w:val="left"/>
      <w:pPr>
        <w:ind w:left="4451" w:hanging="360"/>
      </w:pPr>
      <w:rPr>
        <w:rFonts w:ascii="Courier New" w:hAnsi="Courier New" w:cs="Courier New" w:hint="default"/>
      </w:rPr>
    </w:lvl>
    <w:lvl w:ilvl="5" w:tplc="04020005">
      <w:start w:val="1"/>
      <w:numFmt w:val="bullet"/>
      <w:lvlText w:val=""/>
      <w:lvlJc w:val="left"/>
      <w:pPr>
        <w:ind w:left="5171" w:hanging="360"/>
      </w:pPr>
      <w:rPr>
        <w:rFonts w:ascii="Wingdings" w:hAnsi="Wingdings" w:cs="Wingdings" w:hint="default"/>
      </w:rPr>
    </w:lvl>
    <w:lvl w:ilvl="6" w:tplc="04020001">
      <w:start w:val="1"/>
      <w:numFmt w:val="bullet"/>
      <w:lvlText w:val=""/>
      <w:lvlJc w:val="left"/>
      <w:pPr>
        <w:ind w:left="5891" w:hanging="360"/>
      </w:pPr>
      <w:rPr>
        <w:rFonts w:ascii="Symbol" w:hAnsi="Symbol" w:cs="Symbol" w:hint="default"/>
      </w:rPr>
    </w:lvl>
    <w:lvl w:ilvl="7" w:tplc="04020003">
      <w:start w:val="1"/>
      <w:numFmt w:val="bullet"/>
      <w:lvlText w:val="o"/>
      <w:lvlJc w:val="left"/>
      <w:pPr>
        <w:ind w:left="6611" w:hanging="360"/>
      </w:pPr>
      <w:rPr>
        <w:rFonts w:ascii="Courier New" w:hAnsi="Courier New" w:cs="Courier New" w:hint="default"/>
      </w:rPr>
    </w:lvl>
    <w:lvl w:ilvl="8" w:tplc="04020005">
      <w:start w:val="1"/>
      <w:numFmt w:val="bullet"/>
      <w:lvlText w:val=""/>
      <w:lvlJc w:val="left"/>
      <w:pPr>
        <w:ind w:left="7331" w:hanging="360"/>
      </w:pPr>
      <w:rPr>
        <w:rFonts w:ascii="Wingdings" w:hAnsi="Wingdings" w:cs="Wingdings" w:hint="default"/>
      </w:rPr>
    </w:lvl>
  </w:abstractNum>
  <w:abstractNum w:abstractNumId="17">
    <w:nsid w:val="56F82198"/>
    <w:multiLevelType w:val="hybridMultilevel"/>
    <w:tmpl w:val="3D3ECCE6"/>
    <w:lvl w:ilvl="0" w:tplc="04020001">
      <w:start w:val="1"/>
      <w:numFmt w:val="bullet"/>
      <w:lvlText w:val=""/>
      <w:lvlJc w:val="left"/>
      <w:pPr>
        <w:ind w:left="720" w:hanging="360"/>
      </w:pPr>
      <w:rPr>
        <w:rFonts w:ascii="Symbol" w:hAnsi="Symbol" w:cs="Symbol" w:hint="default"/>
      </w:rPr>
    </w:lvl>
    <w:lvl w:ilvl="1" w:tplc="04020005">
      <w:start w:val="1"/>
      <w:numFmt w:val="bullet"/>
      <w:lvlText w:val=""/>
      <w:lvlJc w:val="left"/>
      <w:pPr>
        <w:tabs>
          <w:tab w:val="num" w:pos="1440"/>
        </w:tabs>
        <w:ind w:left="1440" w:hanging="360"/>
      </w:pPr>
      <w:rPr>
        <w:rFonts w:ascii="Wingdings" w:hAnsi="Wingdings" w:cs="Wingdings"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8">
    <w:nsid w:val="593C2C92"/>
    <w:multiLevelType w:val="hybridMultilevel"/>
    <w:tmpl w:val="3AD6972C"/>
    <w:lvl w:ilvl="0" w:tplc="D6E0E470">
      <w:start w:val="1"/>
      <w:numFmt w:val="decimal"/>
      <w:lvlText w:val="%1."/>
      <w:lvlJc w:val="left"/>
      <w:pPr>
        <w:ind w:left="1211" w:hanging="360"/>
      </w:pPr>
      <w:rPr>
        <w:rFonts w:eastAsia="Times New Roman"/>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9">
    <w:nsid w:val="6F834B75"/>
    <w:multiLevelType w:val="hybridMultilevel"/>
    <w:tmpl w:val="0ABC2D0E"/>
    <w:lvl w:ilvl="0" w:tplc="0402000F">
      <w:start w:val="1"/>
      <w:numFmt w:val="decimal"/>
      <w:lvlText w:val="%1."/>
      <w:lvlJc w:val="left"/>
      <w:pPr>
        <w:ind w:left="720" w:hanging="360"/>
      </w:pPr>
      <w:rPr>
        <w:rFonts w:hint="default"/>
      </w:rPr>
    </w:lvl>
    <w:lvl w:ilvl="1" w:tplc="04020005">
      <w:start w:val="1"/>
      <w:numFmt w:val="bullet"/>
      <w:lvlText w:val=""/>
      <w:lvlJc w:val="left"/>
      <w:pPr>
        <w:tabs>
          <w:tab w:val="num" w:pos="1440"/>
        </w:tabs>
        <w:ind w:left="1440" w:hanging="360"/>
      </w:pPr>
      <w:rPr>
        <w:rFonts w:ascii="Wingdings" w:hAnsi="Wingdings" w:cs="Wingdings" w:hint="default"/>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713D729F"/>
    <w:multiLevelType w:val="hybridMultilevel"/>
    <w:tmpl w:val="A1AA5E78"/>
    <w:lvl w:ilvl="0" w:tplc="04020001">
      <w:start w:val="1"/>
      <w:numFmt w:val="bullet"/>
      <w:lvlText w:val=""/>
      <w:lvlJc w:val="left"/>
      <w:pPr>
        <w:tabs>
          <w:tab w:val="num" w:pos="1428"/>
        </w:tabs>
        <w:ind w:left="1428" w:hanging="360"/>
      </w:pPr>
      <w:rPr>
        <w:rFonts w:ascii="Symbol" w:hAnsi="Symbol" w:cs="Symbol"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cs="Wingdings" w:hint="default"/>
      </w:rPr>
    </w:lvl>
    <w:lvl w:ilvl="3" w:tplc="04020001">
      <w:start w:val="1"/>
      <w:numFmt w:val="bullet"/>
      <w:lvlText w:val=""/>
      <w:lvlJc w:val="left"/>
      <w:pPr>
        <w:tabs>
          <w:tab w:val="num" w:pos="3588"/>
        </w:tabs>
        <w:ind w:left="3588" w:hanging="360"/>
      </w:pPr>
      <w:rPr>
        <w:rFonts w:ascii="Symbol" w:hAnsi="Symbol" w:cs="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cs="Wingdings" w:hint="default"/>
      </w:rPr>
    </w:lvl>
    <w:lvl w:ilvl="6" w:tplc="04020001">
      <w:start w:val="1"/>
      <w:numFmt w:val="bullet"/>
      <w:lvlText w:val=""/>
      <w:lvlJc w:val="left"/>
      <w:pPr>
        <w:tabs>
          <w:tab w:val="num" w:pos="5748"/>
        </w:tabs>
        <w:ind w:left="5748" w:hanging="360"/>
      </w:pPr>
      <w:rPr>
        <w:rFonts w:ascii="Symbol" w:hAnsi="Symbol" w:cs="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cs="Wingdings" w:hint="default"/>
      </w:rPr>
    </w:lvl>
  </w:abstractNum>
  <w:abstractNum w:abstractNumId="21">
    <w:nsid w:val="7A4918CC"/>
    <w:multiLevelType w:val="multilevel"/>
    <w:tmpl w:val="24426044"/>
    <w:lvl w:ilvl="0">
      <w:start w:val="10"/>
      <w:numFmt w:val="bullet"/>
      <w:lvlText w:val="-"/>
      <w:lvlJc w:val="left"/>
      <w:pPr>
        <w:ind w:left="1069" w:hanging="360"/>
      </w:pPr>
      <w:rPr>
        <w:rFonts w:ascii="Times New Roman" w:eastAsia="Times New Roman" w:hAnsi="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20"/>
  </w:num>
  <w:num w:numId="5">
    <w:abstractNumId w:val="4"/>
  </w:num>
  <w:num w:numId="6">
    <w:abstractNumId w:val="18"/>
  </w:num>
  <w:num w:numId="7">
    <w:abstractNumId w:val="10"/>
  </w:num>
  <w:num w:numId="8">
    <w:abstractNumId w:val="2"/>
  </w:num>
  <w:num w:numId="9">
    <w:abstractNumId w:val="12"/>
  </w:num>
  <w:num w:numId="10">
    <w:abstractNumId w:val="15"/>
  </w:num>
  <w:num w:numId="11">
    <w:abstractNumId w:val="13"/>
  </w:num>
  <w:num w:numId="12">
    <w:abstractNumId w:val="19"/>
  </w:num>
  <w:num w:numId="13">
    <w:abstractNumId w:val="16"/>
  </w:num>
  <w:num w:numId="14">
    <w:abstractNumId w:val="7"/>
  </w:num>
  <w:num w:numId="15">
    <w:abstractNumId w:val="8"/>
  </w:num>
  <w:num w:numId="16">
    <w:abstractNumId w:val="21"/>
  </w:num>
  <w:num w:numId="17">
    <w:abstractNumId w:val="14"/>
  </w:num>
  <w:num w:numId="18">
    <w:abstractNumId w:val="3"/>
  </w:num>
  <w:num w:numId="19">
    <w:abstractNumId w:val="9"/>
  </w:num>
  <w:num w:numId="20">
    <w:abstractNumId w:val="0"/>
  </w:num>
  <w:num w:numId="21">
    <w:abstractNumId w:val="17"/>
  </w:num>
  <w:num w:numId="22">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3DA"/>
    <w:rsid w:val="00002119"/>
    <w:rsid w:val="00005AB4"/>
    <w:rsid w:val="00013A8C"/>
    <w:rsid w:val="00016075"/>
    <w:rsid w:val="00020603"/>
    <w:rsid w:val="00026A0A"/>
    <w:rsid w:val="00031E86"/>
    <w:rsid w:val="000658C3"/>
    <w:rsid w:val="000667D1"/>
    <w:rsid w:val="00075BA7"/>
    <w:rsid w:val="00082661"/>
    <w:rsid w:val="00087BD8"/>
    <w:rsid w:val="000A6863"/>
    <w:rsid w:val="000C22D5"/>
    <w:rsid w:val="000D4CDE"/>
    <w:rsid w:val="000D6CAE"/>
    <w:rsid w:val="0010156E"/>
    <w:rsid w:val="001044ED"/>
    <w:rsid w:val="001051A8"/>
    <w:rsid w:val="00110246"/>
    <w:rsid w:val="00125C96"/>
    <w:rsid w:val="00127823"/>
    <w:rsid w:val="001342CA"/>
    <w:rsid w:val="0014289D"/>
    <w:rsid w:val="0014561F"/>
    <w:rsid w:val="00156BFA"/>
    <w:rsid w:val="00170559"/>
    <w:rsid w:val="00181DA0"/>
    <w:rsid w:val="00182C43"/>
    <w:rsid w:val="0019697F"/>
    <w:rsid w:val="001B69A9"/>
    <w:rsid w:val="001E20B7"/>
    <w:rsid w:val="001E32D5"/>
    <w:rsid w:val="001F56C2"/>
    <w:rsid w:val="00233551"/>
    <w:rsid w:val="00241897"/>
    <w:rsid w:val="00250DE1"/>
    <w:rsid w:val="00256D81"/>
    <w:rsid w:val="002665CC"/>
    <w:rsid w:val="002864AD"/>
    <w:rsid w:val="00286C42"/>
    <w:rsid w:val="002A1C4E"/>
    <w:rsid w:val="002B1ACB"/>
    <w:rsid w:val="002B7D34"/>
    <w:rsid w:val="002C3F7E"/>
    <w:rsid w:val="002C5343"/>
    <w:rsid w:val="002C69CE"/>
    <w:rsid w:val="002E0AE3"/>
    <w:rsid w:val="002E56FE"/>
    <w:rsid w:val="00317C43"/>
    <w:rsid w:val="00317D34"/>
    <w:rsid w:val="00372255"/>
    <w:rsid w:val="00372F63"/>
    <w:rsid w:val="00381053"/>
    <w:rsid w:val="003B1105"/>
    <w:rsid w:val="003B194C"/>
    <w:rsid w:val="003D3E5B"/>
    <w:rsid w:val="003D7E57"/>
    <w:rsid w:val="003F7EC3"/>
    <w:rsid w:val="00411539"/>
    <w:rsid w:val="00454AF3"/>
    <w:rsid w:val="00467FB5"/>
    <w:rsid w:val="00472E7F"/>
    <w:rsid w:val="004A536E"/>
    <w:rsid w:val="004B2B7B"/>
    <w:rsid w:val="004B59C6"/>
    <w:rsid w:val="004C4F22"/>
    <w:rsid w:val="004E25FD"/>
    <w:rsid w:val="004F52E9"/>
    <w:rsid w:val="005037EF"/>
    <w:rsid w:val="00514774"/>
    <w:rsid w:val="00515C6C"/>
    <w:rsid w:val="00527E20"/>
    <w:rsid w:val="00533891"/>
    <w:rsid w:val="005357A0"/>
    <w:rsid w:val="00556D41"/>
    <w:rsid w:val="00571F65"/>
    <w:rsid w:val="005D5FF8"/>
    <w:rsid w:val="005F79A4"/>
    <w:rsid w:val="00633BD4"/>
    <w:rsid w:val="00641252"/>
    <w:rsid w:val="0065431B"/>
    <w:rsid w:val="00654EB7"/>
    <w:rsid w:val="006607EC"/>
    <w:rsid w:val="00660D06"/>
    <w:rsid w:val="00670320"/>
    <w:rsid w:val="00672FFF"/>
    <w:rsid w:val="00694440"/>
    <w:rsid w:val="006A2F78"/>
    <w:rsid w:val="006A65EB"/>
    <w:rsid w:val="006D772C"/>
    <w:rsid w:val="006D7D79"/>
    <w:rsid w:val="00715603"/>
    <w:rsid w:val="00723621"/>
    <w:rsid w:val="00756766"/>
    <w:rsid w:val="00761959"/>
    <w:rsid w:val="00774A82"/>
    <w:rsid w:val="00787A81"/>
    <w:rsid w:val="00790C3B"/>
    <w:rsid w:val="00795911"/>
    <w:rsid w:val="007A394B"/>
    <w:rsid w:val="007B451B"/>
    <w:rsid w:val="007C1EDD"/>
    <w:rsid w:val="007C5DA3"/>
    <w:rsid w:val="007D622B"/>
    <w:rsid w:val="007E0DA8"/>
    <w:rsid w:val="007E7706"/>
    <w:rsid w:val="007F268F"/>
    <w:rsid w:val="00804B4B"/>
    <w:rsid w:val="0081691A"/>
    <w:rsid w:val="008461A6"/>
    <w:rsid w:val="00847712"/>
    <w:rsid w:val="008555CA"/>
    <w:rsid w:val="00860A57"/>
    <w:rsid w:val="008768C5"/>
    <w:rsid w:val="008A3C92"/>
    <w:rsid w:val="008C4214"/>
    <w:rsid w:val="008D0D5B"/>
    <w:rsid w:val="008D5BA5"/>
    <w:rsid w:val="008E18A7"/>
    <w:rsid w:val="008E310C"/>
    <w:rsid w:val="008F5C8B"/>
    <w:rsid w:val="008F7D25"/>
    <w:rsid w:val="009037C2"/>
    <w:rsid w:val="0091077D"/>
    <w:rsid w:val="00933E7B"/>
    <w:rsid w:val="009641BD"/>
    <w:rsid w:val="0096590B"/>
    <w:rsid w:val="00975C5E"/>
    <w:rsid w:val="00982D64"/>
    <w:rsid w:val="00995952"/>
    <w:rsid w:val="009A63AD"/>
    <w:rsid w:val="009B0550"/>
    <w:rsid w:val="009C123B"/>
    <w:rsid w:val="009C376B"/>
    <w:rsid w:val="009D6ED4"/>
    <w:rsid w:val="009E5475"/>
    <w:rsid w:val="00A05D23"/>
    <w:rsid w:val="00A0662A"/>
    <w:rsid w:val="00A15AED"/>
    <w:rsid w:val="00A723E4"/>
    <w:rsid w:val="00A8307B"/>
    <w:rsid w:val="00AB3492"/>
    <w:rsid w:val="00AB3E85"/>
    <w:rsid w:val="00AC4C2D"/>
    <w:rsid w:val="00AD4147"/>
    <w:rsid w:val="00AE05E7"/>
    <w:rsid w:val="00AF1648"/>
    <w:rsid w:val="00AF7DA7"/>
    <w:rsid w:val="00B0199D"/>
    <w:rsid w:val="00B07A91"/>
    <w:rsid w:val="00B10B0A"/>
    <w:rsid w:val="00B2512B"/>
    <w:rsid w:val="00B330B3"/>
    <w:rsid w:val="00B43790"/>
    <w:rsid w:val="00B54AA0"/>
    <w:rsid w:val="00B804F8"/>
    <w:rsid w:val="00BB29AD"/>
    <w:rsid w:val="00BB339E"/>
    <w:rsid w:val="00BD48F9"/>
    <w:rsid w:val="00C020F3"/>
    <w:rsid w:val="00C10361"/>
    <w:rsid w:val="00C231D0"/>
    <w:rsid w:val="00C362DD"/>
    <w:rsid w:val="00C43A2E"/>
    <w:rsid w:val="00C527EB"/>
    <w:rsid w:val="00C659BC"/>
    <w:rsid w:val="00C81EB3"/>
    <w:rsid w:val="00C95BE8"/>
    <w:rsid w:val="00C96D16"/>
    <w:rsid w:val="00CA7033"/>
    <w:rsid w:val="00CB0010"/>
    <w:rsid w:val="00CB23DA"/>
    <w:rsid w:val="00CC3C34"/>
    <w:rsid w:val="00CC6AA4"/>
    <w:rsid w:val="00D03539"/>
    <w:rsid w:val="00D05EC1"/>
    <w:rsid w:val="00D1605D"/>
    <w:rsid w:val="00D26733"/>
    <w:rsid w:val="00D8194C"/>
    <w:rsid w:val="00D83A04"/>
    <w:rsid w:val="00D91C82"/>
    <w:rsid w:val="00DA44B0"/>
    <w:rsid w:val="00DA740A"/>
    <w:rsid w:val="00DB58F1"/>
    <w:rsid w:val="00DC775D"/>
    <w:rsid w:val="00DC7AF5"/>
    <w:rsid w:val="00DD3613"/>
    <w:rsid w:val="00E06FB9"/>
    <w:rsid w:val="00E11D0A"/>
    <w:rsid w:val="00E13E37"/>
    <w:rsid w:val="00E20CC8"/>
    <w:rsid w:val="00E326DF"/>
    <w:rsid w:val="00E40E02"/>
    <w:rsid w:val="00E561A7"/>
    <w:rsid w:val="00E5788F"/>
    <w:rsid w:val="00E626AD"/>
    <w:rsid w:val="00E773D4"/>
    <w:rsid w:val="00E827A5"/>
    <w:rsid w:val="00E862DE"/>
    <w:rsid w:val="00E9124B"/>
    <w:rsid w:val="00E91F60"/>
    <w:rsid w:val="00E93747"/>
    <w:rsid w:val="00E97FB6"/>
    <w:rsid w:val="00EA2F60"/>
    <w:rsid w:val="00EB5A01"/>
    <w:rsid w:val="00EF16D8"/>
    <w:rsid w:val="00F53C27"/>
    <w:rsid w:val="00F80994"/>
    <w:rsid w:val="00F95376"/>
    <w:rsid w:val="00FB07BD"/>
    <w:rsid w:val="00FB471C"/>
    <w:rsid w:val="00FD352B"/>
    <w:rsid w:val="00FE3E78"/>
    <w:rsid w:val="00FF07D3"/>
    <w:rsid w:val="00FF1482"/>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DA"/>
    <w:rPr>
      <w:rFonts w:ascii="Times New Roman" w:hAnsi="Times New Roman"/>
      <w:sz w:val="24"/>
      <w:szCs w:val="24"/>
    </w:rPr>
  </w:style>
  <w:style w:type="paragraph" w:styleId="Heading1">
    <w:name w:val="heading 1"/>
    <w:basedOn w:val="Normal"/>
    <w:next w:val="Normal"/>
    <w:link w:val="Heading1Char"/>
    <w:uiPriority w:val="99"/>
    <w:qFormat/>
    <w:locked/>
    <w:rsid w:val="00B804F8"/>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locked/>
    <w:rsid w:val="00B804F8"/>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locked/>
    <w:rsid w:val="00B804F8"/>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locked/>
    <w:rsid w:val="00E93747"/>
    <w:pPr>
      <w:keepNext/>
      <w:keepLines/>
      <w:spacing w:before="20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locked/>
    <w:rsid w:val="00E93747"/>
    <w:pPr>
      <w:keepNext/>
      <w:keepLines/>
      <w:spacing w:before="200"/>
      <w:outlineLvl w:val="4"/>
    </w:pPr>
    <w:rPr>
      <w:rFonts w:ascii="Cambria" w:eastAsia="Times New Roman" w:hAnsi="Cambria" w:cs="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04F8"/>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804F8"/>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804F8"/>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E93747"/>
    <w:rPr>
      <w:rFonts w:ascii="Cambria" w:hAnsi="Cambria" w:cs="Cambria"/>
      <w:b/>
      <w:bCs/>
      <w:i/>
      <w:iCs/>
      <w:color w:val="4F81BD"/>
      <w:sz w:val="24"/>
      <w:szCs w:val="24"/>
    </w:rPr>
  </w:style>
  <w:style w:type="character" w:customStyle="1" w:styleId="Heading5Char">
    <w:name w:val="Heading 5 Char"/>
    <w:basedOn w:val="DefaultParagraphFont"/>
    <w:link w:val="Heading5"/>
    <w:uiPriority w:val="99"/>
    <w:locked/>
    <w:rsid w:val="00E93747"/>
    <w:rPr>
      <w:rFonts w:ascii="Cambria" w:hAnsi="Cambria" w:cs="Cambria"/>
      <w:color w:val="243F60"/>
      <w:sz w:val="24"/>
      <w:szCs w:val="24"/>
    </w:rPr>
  </w:style>
  <w:style w:type="character" w:styleId="Strong">
    <w:name w:val="Strong"/>
    <w:basedOn w:val="DefaultParagraphFont"/>
    <w:uiPriority w:val="99"/>
    <w:qFormat/>
    <w:rsid w:val="00CB23DA"/>
    <w:rPr>
      <w:b/>
      <w:bCs/>
    </w:rPr>
  </w:style>
  <w:style w:type="character" w:styleId="Hyperlink">
    <w:name w:val="Hyperlink"/>
    <w:basedOn w:val="DefaultParagraphFont"/>
    <w:uiPriority w:val="99"/>
    <w:semiHidden/>
    <w:rsid w:val="00CB23DA"/>
    <w:rPr>
      <w:color w:val="0000FF"/>
      <w:u w:val="single"/>
    </w:rPr>
  </w:style>
  <w:style w:type="paragraph" w:customStyle="1" w:styleId="LYA">
    <w:name w:val="LYA"/>
    <w:basedOn w:val="Normal"/>
    <w:uiPriority w:val="99"/>
    <w:rsid w:val="00CB23DA"/>
    <w:pPr>
      <w:spacing w:line="260" w:lineRule="exact"/>
      <w:ind w:firstLine="851"/>
      <w:jc w:val="both"/>
    </w:pPr>
    <w:rPr>
      <w:lang w:eastAsia="en-US"/>
    </w:rPr>
  </w:style>
  <w:style w:type="paragraph" w:styleId="ListParagraph">
    <w:name w:val="List Paragraph"/>
    <w:basedOn w:val="Normal"/>
    <w:uiPriority w:val="99"/>
    <w:qFormat/>
    <w:rsid w:val="00CB23DA"/>
    <w:pPr>
      <w:ind w:left="720"/>
    </w:pPr>
  </w:style>
  <w:style w:type="paragraph" w:customStyle="1" w:styleId="m">
    <w:name w:val="m"/>
    <w:basedOn w:val="Normal"/>
    <w:uiPriority w:val="99"/>
    <w:rsid w:val="00CB23DA"/>
    <w:pPr>
      <w:spacing w:before="100" w:beforeAutospacing="1" w:after="100" w:afterAutospacing="1"/>
    </w:pPr>
  </w:style>
  <w:style w:type="character" w:styleId="Emphasis">
    <w:name w:val="Emphasis"/>
    <w:basedOn w:val="DefaultParagraphFont"/>
    <w:uiPriority w:val="99"/>
    <w:qFormat/>
    <w:rsid w:val="00CB23DA"/>
    <w:rPr>
      <w:i/>
      <w:iCs/>
    </w:rPr>
  </w:style>
  <w:style w:type="paragraph" w:customStyle="1" w:styleId="title5">
    <w:name w:val="title5"/>
    <w:basedOn w:val="Normal"/>
    <w:uiPriority w:val="99"/>
    <w:rsid w:val="00CB23DA"/>
    <w:pPr>
      <w:spacing w:before="100" w:beforeAutospacing="1" w:after="100" w:afterAutospacing="1"/>
      <w:jc w:val="center"/>
    </w:pPr>
    <w:rPr>
      <w:b/>
      <w:bCs/>
      <w:sz w:val="26"/>
      <w:szCs w:val="26"/>
    </w:rPr>
  </w:style>
  <w:style w:type="paragraph" w:styleId="BalloonText">
    <w:name w:val="Balloon Text"/>
    <w:basedOn w:val="Normal"/>
    <w:link w:val="BalloonTextChar"/>
    <w:uiPriority w:val="99"/>
    <w:semiHidden/>
    <w:rsid w:val="002C69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69CE"/>
    <w:rPr>
      <w:rFonts w:ascii="Tahoma" w:hAnsi="Tahoma" w:cs="Tahoma"/>
      <w:sz w:val="16"/>
      <w:szCs w:val="16"/>
      <w:lang w:eastAsia="bg-BG"/>
    </w:rPr>
  </w:style>
  <w:style w:type="character" w:styleId="FollowedHyperlink">
    <w:name w:val="FollowedHyperlink"/>
    <w:basedOn w:val="DefaultParagraphFont"/>
    <w:uiPriority w:val="99"/>
    <w:rsid w:val="002C3F7E"/>
    <w:rPr>
      <w:color w:val="800080"/>
      <w:u w:val="single"/>
    </w:rPr>
  </w:style>
  <w:style w:type="table" w:styleId="TableGrid">
    <w:name w:val="Table Grid"/>
    <w:basedOn w:val="TableNormal"/>
    <w:uiPriority w:val="99"/>
    <w:locked/>
    <w:rsid w:val="00860A5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locked/>
    <w:rsid w:val="00B804F8"/>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B804F8"/>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locked/>
    <w:rsid w:val="00E93747"/>
    <w:pPr>
      <w:numPr>
        <w:ilvl w:val="1"/>
      </w:numPr>
    </w:pPr>
    <w:rPr>
      <w:rFonts w:ascii="Cambria" w:eastAsia="Times New Roman" w:hAnsi="Cambria" w:cs="Cambria"/>
      <w:i/>
      <w:iCs/>
      <w:color w:val="4F81BD"/>
      <w:spacing w:val="15"/>
    </w:rPr>
  </w:style>
  <w:style w:type="character" w:customStyle="1" w:styleId="SubtitleChar">
    <w:name w:val="Subtitle Char"/>
    <w:basedOn w:val="DefaultParagraphFont"/>
    <w:link w:val="Subtitle"/>
    <w:uiPriority w:val="99"/>
    <w:locked/>
    <w:rsid w:val="00E93747"/>
    <w:rPr>
      <w:rFonts w:ascii="Cambria" w:hAnsi="Cambria" w:cs="Cambria"/>
      <w:i/>
      <w:iCs/>
      <w:color w:val="4F81BD"/>
      <w:spacing w:val="15"/>
      <w:sz w:val="24"/>
      <w:szCs w:val="24"/>
    </w:rPr>
  </w:style>
  <w:style w:type="paragraph" w:styleId="FootnoteText">
    <w:name w:val="footnote text"/>
    <w:basedOn w:val="Normal"/>
    <w:link w:val="FootnoteTextChar"/>
    <w:uiPriority w:val="99"/>
    <w:semiHidden/>
    <w:rsid w:val="008555CA"/>
    <w:rPr>
      <w:sz w:val="20"/>
      <w:szCs w:val="20"/>
    </w:rPr>
  </w:style>
  <w:style w:type="character" w:customStyle="1" w:styleId="FootnoteTextChar">
    <w:name w:val="Footnote Text Char"/>
    <w:basedOn w:val="DefaultParagraphFont"/>
    <w:link w:val="FootnoteText"/>
    <w:uiPriority w:val="99"/>
    <w:semiHidden/>
    <w:locked/>
    <w:rsid w:val="001342CA"/>
    <w:rPr>
      <w:rFonts w:ascii="Times New Roman" w:hAnsi="Times New Roman" w:cs="Times New Roman"/>
      <w:sz w:val="20"/>
      <w:szCs w:val="20"/>
    </w:rPr>
  </w:style>
  <w:style w:type="character" w:styleId="FootnoteReference">
    <w:name w:val="footnote reference"/>
    <w:basedOn w:val="DefaultParagraphFont"/>
    <w:uiPriority w:val="99"/>
    <w:semiHidden/>
    <w:rsid w:val="008555CA"/>
    <w:rPr>
      <w:vertAlign w:val="superscript"/>
    </w:rPr>
  </w:style>
  <w:style w:type="paragraph" w:styleId="Footer">
    <w:name w:val="footer"/>
    <w:basedOn w:val="Normal"/>
    <w:link w:val="FooterChar"/>
    <w:uiPriority w:val="99"/>
    <w:rsid w:val="0010156E"/>
    <w:pPr>
      <w:tabs>
        <w:tab w:val="center" w:pos="4536"/>
        <w:tab w:val="right" w:pos="9072"/>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sid w:val="0010156E"/>
  </w:style>
  <w:style w:type="character" w:customStyle="1" w:styleId="apple-converted-space">
    <w:name w:val="apple-converted-space"/>
    <w:basedOn w:val="DefaultParagraphFont"/>
    <w:uiPriority w:val="99"/>
    <w:rsid w:val="00016075"/>
  </w:style>
</w:styles>
</file>

<file path=word/webSettings.xml><?xml version="1.0" encoding="utf-8"?>
<w:webSettings xmlns:r="http://schemas.openxmlformats.org/officeDocument/2006/relationships" xmlns:w="http://schemas.openxmlformats.org/wordprocessingml/2006/main">
  <w:divs>
    <w:div w:id="61217149">
      <w:marLeft w:val="0"/>
      <w:marRight w:val="0"/>
      <w:marTop w:val="0"/>
      <w:marBottom w:val="0"/>
      <w:divBdr>
        <w:top w:val="none" w:sz="0" w:space="0" w:color="auto"/>
        <w:left w:val="none" w:sz="0" w:space="0" w:color="auto"/>
        <w:bottom w:val="none" w:sz="0" w:space="0" w:color="auto"/>
        <w:right w:val="none" w:sz="0" w:space="0" w:color="auto"/>
      </w:divBdr>
    </w:div>
    <w:div w:id="61217150">
      <w:marLeft w:val="0"/>
      <w:marRight w:val="0"/>
      <w:marTop w:val="0"/>
      <w:marBottom w:val="0"/>
      <w:divBdr>
        <w:top w:val="none" w:sz="0" w:space="0" w:color="auto"/>
        <w:left w:val="none" w:sz="0" w:space="0" w:color="auto"/>
        <w:bottom w:val="none" w:sz="0" w:space="0" w:color="auto"/>
        <w:right w:val="none" w:sz="0" w:space="0" w:color="auto"/>
      </w:divBdr>
    </w:div>
    <w:div w:id="61217151">
      <w:marLeft w:val="0"/>
      <w:marRight w:val="0"/>
      <w:marTop w:val="0"/>
      <w:marBottom w:val="0"/>
      <w:divBdr>
        <w:top w:val="none" w:sz="0" w:space="0" w:color="auto"/>
        <w:left w:val="none" w:sz="0" w:space="0" w:color="auto"/>
        <w:bottom w:val="none" w:sz="0" w:space="0" w:color="auto"/>
        <w:right w:val="none" w:sz="0" w:space="0" w:color="auto"/>
      </w:divBdr>
    </w:div>
    <w:div w:id="61217152">
      <w:marLeft w:val="0"/>
      <w:marRight w:val="0"/>
      <w:marTop w:val="0"/>
      <w:marBottom w:val="0"/>
      <w:divBdr>
        <w:top w:val="none" w:sz="0" w:space="0" w:color="auto"/>
        <w:left w:val="none" w:sz="0" w:space="0" w:color="auto"/>
        <w:bottom w:val="none" w:sz="0" w:space="0" w:color="auto"/>
        <w:right w:val="none" w:sz="0" w:space="0" w:color="auto"/>
      </w:divBdr>
    </w:div>
    <w:div w:id="61217153">
      <w:marLeft w:val="0"/>
      <w:marRight w:val="0"/>
      <w:marTop w:val="0"/>
      <w:marBottom w:val="0"/>
      <w:divBdr>
        <w:top w:val="none" w:sz="0" w:space="0" w:color="auto"/>
        <w:left w:val="none" w:sz="0" w:space="0" w:color="auto"/>
        <w:bottom w:val="none" w:sz="0" w:space="0" w:color="auto"/>
        <w:right w:val="none" w:sz="0" w:space="0" w:color="auto"/>
      </w:divBdr>
    </w:div>
    <w:div w:id="61217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fsc.bg/Deystvitelni-sobstvenici-po-29-bg-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33</Pages>
  <Words>12255</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petrin_r</dc:creator>
  <cp:keywords/>
  <dc:description/>
  <cp:lastModifiedBy>222pepi</cp:lastModifiedBy>
  <cp:revision>2</cp:revision>
  <dcterms:created xsi:type="dcterms:W3CDTF">2015-02-16T08:09:00Z</dcterms:created>
  <dcterms:modified xsi:type="dcterms:W3CDTF">2015-02-16T08:09:00Z</dcterms:modified>
</cp:coreProperties>
</file>